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5C1" w:rsidRDefault="001755C1">
      <w:pPr>
        <w:pStyle w:val="Nadpis1"/>
      </w:pPr>
      <w:r>
        <w:t xml:space="preserve">Rada </w:t>
      </w:r>
      <w:r w:rsidR="00917ACB">
        <w:t>MČ</w:t>
      </w:r>
      <w:r>
        <w:t> Praha 10</w:t>
      </w:r>
      <w:r>
        <w:tab/>
      </w:r>
      <w:r>
        <w:tab/>
      </w:r>
      <w:r>
        <w:tab/>
      </w:r>
      <w:r>
        <w:tab/>
      </w:r>
      <w:r>
        <w:tab/>
      </w:r>
      <w:r>
        <w:tab/>
      </w:r>
      <w:r w:rsidR="009E0625">
        <w:t>17</w:t>
      </w:r>
      <w:r>
        <w:t>. zasedání</w:t>
      </w:r>
    </w:p>
    <w:p w:rsidR="001755C1" w:rsidRDefault="001755C1">
      <w:pPr>
        <w:pStyle w:val="Nadpis1"/>
        <w:ind w:firstLine="5670"/>
      </w:pPr>
      <w:r>
        <w:t xml:space="preserve">Zastupitelstva </w:t>
      </w:r>
      <w:r w:rsidR="00917ACB">
        <w:t>MČ</w:t>
      </w:r>
      <w:r>
        <w:t xml:space="preserve"> Praha 10</w:t>
      </w:r>
    </w:p>
    <w:p w:rsidR="001755C1" w:rsidRDefault="001755C1">
      <w:pPr>
        <w:pStyle w:val="Nadpis1"/>
        <w:ind w:firstLine="5670"/>
      </w:pPr>
      <w:r>
        <w:t xml:space="preserve">dne </w:t>
      </w:r>
      <w:r w:rsidR="00C961F3">
        <w:t>11. 9. 2017</w:t>
      </w:r>
    </w:p>
    <w:p w:rsidR="001755C1" w:rsidRDefault="001755C1">
      <w:pPr>
        <w:rPr>
          <w:sz w:val="24"/>
        </w:rPr>
      </w:pPr>
    </w:p>
    <w:p w:rsidR="001755C1" w:rsidRDefault="001755C1">
      <w:pPr>
        <w:rPr>
          <w:sz w:val="24"/>
        </w:rPr>
      </w:pPr>
    </w:p>
    <w:p w:rsidR="001755C1" w:rsidRDefault="001755C1">
      <w:pPr>
        <w:rPr>
          <w:sz w:val="24"/>
        </w:rPr>
      </w:pPr>
    </w:p>
    <w:p w:rsidR="001755C1" w:rsidRDefault="001755C1">
      <w:pPr>
        <w:rPr>
          <w:sz w:val="24"/>
        </w:rPr>
      </w:pPr>
    </w:p>
    <w:p w:rsidR="001755C1" w:rsidRDefault="001755C1">
      <w:pPr>
        <w:rPr>
          <w:sz w:val="24"/>
        </w:rPr>
      </w:pPr>
    </w:p>
    <w:p w:rsidR="001755C1" w:rsidRPr="00A7277C" w:rsidRDefault="001755C1">
      <w:pPr>
        <w:rPr>
          <w:sz w:val="28"/>
          <w:szCs w:val="28"/>
        </w:rPr>
      </w:pPr>
    </w:p>
    <w:p w:rsidR="001755C1" w:rsidRPr="001B6CA4" w:rsidRDefault="00C961F3" w:rsidP="00C961F3">
      <w:pPr>
        <w:jc w:val="center"/>
        <w:rPr>
          <w:b/>
          <w:sz w:val="28"/>
          <w:szCs w:val="28"/>
          <w:u w:val="single"/>
        </w:rPr>
      </w:pPr>
      <w:r w:rsidRPr="001B6CA4">
        <w:rPr>
          <w:b/>
          <w:sz w:val="28"/>
          <w:szCs w:val="28"/>
          <w:u w:val="single"/>
        </w:rPr>
        <w:t>Informace o aktuálním vývoji situace ve věci hazardu na území městské části Praha 10</w:t>
      </w:r>
    </w:p>
    <w:p w:rsidR="001755C1" w:rsidRPr="00E43D31" w:rsidRDefault="001755C1">
      <w:pPr>
        <w:rPr>
          <w:sz w:val="24"/>
          <w:szCs w:val="24"/>
        </w:rPr>
      </w:pPr>
    </w:p>
    <w:p w:rsidR="001755C1" w:rsidRDefault="001755C1">
      <w:pPr>
        <w:rPr>
          <w:sz w:val="24"/>
        </w:rPr>
      </w:pPr>
    </w:p>
    <w:p w:rsidR="001755C1" w:rsidRDefault="001755C1">
      <w:pPr>
        <w:rPr>
          <w:b/>
          <w:sz w:val="24"/>
          <w:u w:val="single"/>
        </w:rPr>
      </w:pPr>
      <w:r>
        <w:rPr>
          <w:b/>
          <w:sz w:val="24"/>
          <w:u w:val="single"/>
        </w:rPr>
        <w:t>Důvod předložení:</w:t>
      </w:r>
    </w:p>
    <w:p w:rsidR="001755C1" w:rsidRDefault="00C961F3">
      <w:pPr>
        <w:rPr>
          <w:sz w:val="24"/>
        </w:rPr>
      </w:pPr>
      <w:r>
        <w:rPr>
          <w:sz w:val="24"/>
        </w:rPr>
        <w:t>§ 94 odst. 3 zákona č. 131/2000 Sb., o hl. m. Praze, v platném znění</w:t>
      </w:r>
    </w:p>
    <w:p w:rsidR="00C961F3" w:rsidRDefault="00C961F3">
      <w:pPr>
        <w:rPr>
          <w:sz w:val="24"/>
        </w:rPr>
      </w:pPr>
      <w:r>
        <w:rPr>
          <w:sz w:val="24"/>
        </w:rPr>
        <w:t>Usnesení RMČ Prahy 10 ze dne 30. 8. 2017</w:t>
      </w:r>
    </w:p>
    <w:p w:rsidR="001755C1" w:rsidRDefault="001755C1">
      <w:pPr>
        <w:rPr>
          <w:sz w:val="24"/>
        </w:rPr>
      </w:pPr>
    </w:p>
    <w:p w:rsidR="001755C1" w:rsidRDefault="001755C1">
      <w:pPr>
        <w:rPr>
          <w:b/>
          <w:sz w:val="24"/>
          <w:u w:val="single"/>
        </w:rPr>
      </w:pPr>
      <w:r>
        <w:rPr>
          <w:b/>
          <w:sz w:val="24"/>
          <w:u w:val="single"/>
        </w:rPr>
        <w:t>Obsah:</w:t>
      </w:r>
    </w:p>
    <w:p w:rsidR="00E43D31" w:rsidRPr="00A10DC4" w:rsidRDefault="00E43D31" w:rsidP="00E43D31">
      <w:pPr>
        <w:tabs>
          <w:tab w:val="num" w:pos="284"/>
        </w:tabs>
        <w:rPr>
          <w:sz w:val="24"/>
        </w:rPr>
      </w:pPr>
      <w:r>
        <w:rPr>
          <w:sz w:val="24"/>
        </w:rPr>
        <w:t>I.</w:t>
      </w:r>
      <w:r>
        <w:rPr>
          <w:sz w:val="24"/>
        </w:rPr>
        <w:tab/>
        <w:t xml:space="preserve"> </w:t>
      </w:r>
      <w:r w:rsidRPr="00A10DC4">
        <w:rPr>
          <w:sz w:val="24"/>
        </w:rPr>
        <w:t>Návrh us</w:t>
      </w:r>
      <w:r>
        <w:rPr>
          <w:sz w:val="24"/>
        </w:rPr>
        <w:t xml:space="preserve">nesení RMČ </w:t>
      </w:r>
    </w:p>
    <w:p w:rsidR="00E43D31" w:rsidRDefault="00E43D31" w:rsidP="00E43D31">
      <w:pPr>
        <w:rPr>
          <w:sz w:val="24"/>
        </w:rPr>
      </w:pPr>
      <w:r>
        <w:rPr>
          <w:sz w:val="24"/>
        </w:rPr>
        <w:t>II.   Důvodová zpráva</w:t>
      </w:r>
    </w:p>
    <w:p w:rsidR="00E43D31" w:rsidRDefault="00E43D31" w:rsidP="00E43D31">
      <w:pPr>
        <w:rPr>
          <w:sz w:val="24"/>
        </w:rPr>
      </w:pPr>
      <w:r>
        <w:rPr>
          <w:sz w:val="24"/>
        </w:rPr>
        <w:t>III. Přílohy:</w:t>
      </w:r>
    </w:p>
    <w:p w:rsidR="00E43D31" w:rsidRDefault="00E43D31" w:rsidP="00E43D31">
      <w:pPr>
        <w:numPr>
          <w:ilvl w:val="0"/>
          <w:numId w:val="5"/>
        </w:numPr>
        <w:rPr>
          <w:sz w:val="24"/>
        </w:rPr>
      </w:pPr>
      <w:r>
        <w:rPr>
          <w:sz w:val="24"/>
        </w:rPr>
        <w:t xml:space="preserve">Přípis Bc. R. Lojdy na MHMP ze dne 26. 5. 2017   </w:t>
      </w:r>
    </w:p>
    <w:p w:rsidR="00E43D31" w:rsidRDefault="00E43D31" w:rsidP="00E43D31">
      <w:pPr>
        <w:numPr>
          <w:ilvl w:val="0"/>
          <w:numId w:val="5"/>
        </w:numPr>
        <w:rPr>
          <w:sz w:val="24"/>
        </w:rPr>
      </w:pPr>
      <w:r>
        <w:rPr>
          <w:sz w:val="24"/>
        </w:rPr>
        <w:t>Odpověď MHMP na přípis Bc. R. Lojdy ze dne 5. 6. 2017</w:t>
      </w:r>
    </w:p>
    <w:p w:rsidR="00E43D31" w:rsidRDefault="00E43D31" w:rsidP="00E43D31">
      <w:pPr>
        <w:numPr>
          <w:ilvl w:val="0"/>
          <w:numId w:val="5"/>
        </w:numPr>
        <w:rPr>
          <w:sz w:val="24"/>
        </w:rPr>
      </w:pPr>
      <w:r>
        <w:rPr>
          <w:sz w:val="24"/>
        </w:rPr>
        <w:t xml:space="preserve">Přípis Bc. R. Lojdy na MHMP ze dne 14. 6. 2017  </w:t>
      </w:r>
    </w:p>
    <w:p w:rsidR="00E43D31" w:rsidRDefault="00E43D31" w:rsidP="00E43D31">
      <w:pPr>
        <w:numPr>
          <w:ilvl w:val="0"/>
          <w:numId w:val="5"/>
        </w:numPr>
        <w:rPr>
          <w:sz w:val="24"/>
        </w:rPr>
      </w:pPr>
      <w:r>
        <w:rPr>
          <w:sz w:val="24"/>
        </w:rPr>
        <w:t>Odpověď MHMP na přípis Bc. R. Lojdy ze dne 27. 6. 2017</w:t>
      </w:r>
    </w:p>
    <w:p w:rsidR="00E43D31" w:rsidRDefault="00E43D31" w:rsidP="00E43D31">
      <w:pPr>
        <w:ind w:left="360"/>
        <w:rPr>
          <w:sz w:val="24"/>
        </w:rPr>
      </w:pPr>
      <w:r>
        <w:rPr>
          <w:sz w:val="24"/>
        </w:rPr>
        <w:t xml:space="preserve"> </w:t>
      </w:r>
    </w:p>
    <w:p w:rsidR="001755C1" w:rsidRPr="00EF503B" w:rsidRDefault="001755C1" w:rsidP="00EF503B">
      <w:pPr>
        <w:rPr>
          <w:sz w:val="24"/>
          <w:szCs w:val="24"/>
        </w:rPr>
      </w:pPr>
      <w:bookmarkStart w:id="0" w:name="_GoBack"/>
      <w:bookmarkEnd w:id="0"/>
    </w:p>
    <w:p w:rsidR="001755C1" w:rsidRDefault="001755C1">
      <w:pPr>
        <w:rPr>
          <w:sz w:val="24"/>
        </w:rPr>
      </w:pPr>
    </w:p>
    <w:p w:rsidR="001755C1" w:rsidRDefault="001755C1">
      <w:pPr>
        <w:rPr>
          <w:sz w:val="24"/>
        </w:rPr>
      </w:pPr>
    </w:p>
    <w:p w:rsidR="001755C1" w:rsidRDefault="001755C1">
      <w:pPr>
        <w:rPr>
          <w:sz w:val="24"/>
        </w:rPr>
      </w:pPr>
    </w:p>
    <w:p w:rsidR="001755C1" w:rsidRDefault="001755C1">
      <w:pPr>
        <w:rPr>
          <w:sz w:val="24"/>
        </w:rPr>
      </w:pPr>
    </w:p>
    <w:p w:rsidR="001755C1" w:rsidRDefault="001755C1">
      <w:pPr>
        <w:rPr>
          <w:sz w:val="24"/>
        </w:rPr>
      </w:pPr>
    </w:p>
    <w:p w:rsidR="001755C1" w:rsidRDefault="001755C1">
      <w:pPr>
        <w:rPr>
          <w:sz w:val="24"/>
        </w:rPr>
      </w:pPr>
    </w:p>
    <w:p w:rsidR="001755C1" w:rsidRDefault="001755C1">
      <w:pPr>
        <w:rPr>
          <w:sz w:val="24"/>
        </w:rPr>
      </w:pPr>
    </w:p>
    <w:p w:rsidR="001755C1" w:rsidRDefault="001755C1">
      <w:pPr>
        <w:rPr>
          <w:sz w:val="24"/>
        </w:rPr>
      </w:pPr>
    </w:p>
    <w:p w:rsidR="001755C1" w:rsidRDefault="001755C1">
      <w:pPr>
        <w:rPr>
          <w:sz w:val="24"/>
        </w:rPr>
      </w:pPr>
    </w:p>
    <w:p w:rsidR="001755C1" w:rsidRDefault="001755C1">
      <w:pPr>
        <w:rPr>
          <w:sz w:val="24"/>
        </w:rPr>
      </w:pPr>
    </w:p>
    <w:p w:rsidR="001755C1" w:rsidRDefault="001755C1">
      <w:pPr>
        <w:rPr>
          <w:b/>
          <w:sz w:val="24"/>
          <w:u w:val="single"/>
        </w:rPr>
      </w:pPr>
      <w:r>
        <w:rPr>
          <w:b/>
          <w:sz w:val="24"/>
          <w:u w:val="single"/>
        </w:rPr>
        <w:t>Předkládá:</w:t>
      </w:r>
    </w:p>
    <w:p w:rsidR="001755C1" w:rsidRDefault="00AD36AD">
      <w:pPr>
        <w:rPr>
          <w:sz w:val="24"/>
        </w:rPr>
      </w:pPr>
      <w:r>
        <w:rPr>
          <w:sz w:val="24"/>
        </w:rPr>
        <w:t xml:space="preserve">Mgr. </w:t>
      </w:r>
      <w:smartTag w:uri="urn:schemas-microsoft-com:office:smarttags" w:element="PersonName">
        <w:smartTagPr>
          <w:attr w:name="ProductID" w:val="Bohumil Zoufal￭k"/>
        </w:smartTagPr>
        <w:r w:rsidR="002A4FB1">
          <w:rPr>
            <w:sz w:val="24"/>
          </w:rPr>
          <w:t>Bohumil Zoufalík</w:t>
        </w:r>
      </w:smartTag>
      <w:r w:rsidR="001755C1">
        <w:rPr>
          <w:sz w:val="24"/>
        </w:rPr>
        <w:t>,</w:t>
      </w:r>
    </w:p>
    <w:p w:rsidR="001755C1" w:rsidRPr="00AD36AD" w:rsidRDefault="00AD36AD">
      <w:pPr>
        <w:rPr>
          <w:sz w:val="24"/>
          <w:szCs w:val="24"/>
        </w:rPr>
      </w:pPr>
      <w:r w:rsidRPr="00AD36AD">
        <w:rPr>
          <w:sz w:val="24"/>
          <w:szCs w:val="24"/>
        </w:rPr>
        <w:t>uvolněný člen RMČ</w:t>
      </w:r>
    </w:p>
    <w:p w:rsidR="001755C1" w:rsidRPr="00AD36AD" w:rsidRDefault="001755C1">
      <w:pPr>
        <w:rPr>
          <w:sz w:val="24"/>
          <w:szCs w:val="24"/>
        </w:rPr>
      </w:pPr>
    </w:p>
    <w:p w:rsidR="001755C1" w:rsidRDefault="001755C1">
      <w:pPr>
        <w:rPr>
          <w:sz w:val="24"/>
        </w:rPr>
      </w:pPr>
    </w:p>
    <w:p w:rsidR="001755C1" w:rsidRDefault="001755C1">
      <w:pPr>
        <w:rPr>
          <w:sz w:val="24"/>
        </w:rPr>
      </w:pPr>
    </w:p>
    <w:p w:rsidR="001755C1" w:rsidRDefault="001755C1">
      <w:pPr>
        <w:rPr>
          <w:sz w:val="24"/>
        </w:rPr>
      </w:pPr>
    </w:p>
    <w:p w:rsidR="001755C1" w:rsidRDefault="001755C1">
      <w:pPr>
        <w:rPr>
          <w:b/>
          <w:sz w:val="24"/>
          <w:u w:val="single"/>
        </w:rPr>
      </w:pPr>
      <w:r>
        <w:rPr>
          <w:b/>
          <w:sz w:val="24"/>
          <w:u w:val="single"/>
        </w:rPr>
        <w:t>Zpracovala:</w:t>
      </w:r>
    </w:p>
    <w:p w:rsidR="00A7277C" w:rsidRPr="00A7277C" w:rsidRDefault="00A7277C">
      <w:pPr>
        <w:rPr>
          <w:sz w:val="24"/>
        </w:rPr>
      </w:pPr>
      <w:r w:rsidRPr="00A7277C">
        <w:rPr>
          <w:sz w:val="24"/>
        </w:rPr>
        <w:t>Lidmila Gavláková</w:t>
      </w:r>
    </w:p>
    <w:p w:rsidR="00A7277C" w:rsidRPr="00A7277C" w:rsidRDefault="00A7277C">
      <w:pPr>
        <w:rPr>
          <w:sz w:val="24"/>
        </w:rPr>
      </w:pPr>
      <w:r>
        <w:rPr>
          <w:sz w:val="24"/>
        </w:rPr>
        <w:t>v</w:t>
      </w:r>
      <w:r w:rsidRPr="00A7277C">
        <w:rPr>
          <w:sz w:val="24"/>
        </w:rPr>
        <w:t>edoucí oddělení místních příjmů</w:t>
      </w:r>
    </w:p>
    <w:p w:rsidR="00A7277C" w:rsidRDefault="00A7277C">
      <w:pPr>
        <w:jc w:val="center"/>
        <w:rPr>
          <w:sz w:val="36"/>
        </w:rPr>
      </w:pPr>
    </w:p>
    <w:p w:rsidR="00A7277C" w:rsidRDefault="00A7277C">
      <w:pPr>
        <w:jc w:val="center"/>
        <w:rPr>
          <w:sz w:val="36"/>
        </w:rPr>
      </w:pPr>
    </w:p>
    <w:p w:rsidR="00A7277C" w:rsidRDefault="00A7277C">
      <w:pPr>
        <w:jc w:val="center"/>
        <w:rPr>
          <w:sz w:val="36"/>
        </w:rPr>
      </w:pPr>
    </w:p>
    <w:p w:rsidR="00A7277C" w:rsidRDefault="00A7277C">
      <w:pPr>
        <w:jc w:val="center"/>
        <w:rPr>
          <w:sz w:val="36"/>
        </w:rPr>
      </w:pPr>
    </w:p>
    <w:p w:rsidR="001755C1" w:rsidRDefault="001755C1">
      <w:pPr>
        <w:jc w:val="center"/>
        <w:rPr>
          <w:sz w:val="36"/>
        </w:rPr>
      </w:pPr>
      <w:r>
        <w:rPr>
          <w:sz w:val="36"/>
        </w:rPr>
        <w:t>Městská část Praha 10</w:t>
      </w:r>
    </w:p>
    <w:p w:rsidR="001755C1" w:rsidRDefault="001755C1">
      <w:pPr>
        <w:jc w:val="center"/>
        <w:rPr>
          <w:sz w:val="36"/>
        </w:rPr>
      </w:pPr>
    </w:p>
    <w:p w:rsidR="001755C1" w:rsidRDefault="001755C1">
      <w:pPr>
        <w:jc w:val="center"/>
        <w:rPr>
          <w:sz w:val="36"/>
        </w:rPr>
      </w:pPr>
      <w:r>
        <w:rPr>
          <w:sz w:val="36"/>
        </w:rPr>
        <w:t>ZASTUPITELSTVO MĚSTSKÉ ČÁSTI PRAHA 10</w:t>
      </w:r>
    </w:p>
    <w:p w:rsidR="001755C1" w:rsidRDefault="001755C1">
      <w:pPr>
        <w:jc w:val="center"/>
        <w:rPr>
          <w:b/>
          <w:sz w:val="36"/>
        </w:rPr>
      </w:pPr>
    </w:p>
    <w:p w:rsidR="001755C1" w:rsidRDefault="001755C1">
      <w:pPr>
        <w:pStyle w:val="Nadpis2"/>
      </w:pPr>
      <w:r>
        <w:t>Návrh usnesení</w:t>
      </w:r>
    </w:p>
    <w:p w:rsidR="001755C1" w:rsidRDefault="001755C1">
      <w:pPr>
        <w:pStyle w:val="Nadpis3"/>
      </w:pPr>
      <w:r>
        <w:t>Zastupitelstva městské části Praha 10</w:t>
      </w:r>
    </w:p>
    <w:p w:rsidR="001755C1" w:rsidRDefault="001755C1">
      <w:pPr>
        <w:jc w:val="center"/>
        <w:rPr>
          <w:sz w:val="24"/>
        </w:rPr>
      </w:pPr>
      <w:r>
        <w:rPr>
          <w:sz w:val="24"/>
        </w:rPr>
        <w:t>číslo</w:t>
      </w:r>
    </w:p>
    <w:p w:rsidR="001755C1" w:rsidRDefault="001755C1">
      <w:pPr>
        <w:jc w:val="center"/>
        <w:rPr>
          <w:sz w:val="24"/>
        </w:rPr>
      </w:pPr>
      <w:r>
        <w:rPr>
          <w:sz w:val="24"/>
        </w:rPr>
        <w:t xml:space="preserve">ze dne </w:t>
      </w:r>
      <w:r w:rsidR="005A5B31">
        <w:rPr>
          <w:sz w:val="24"/>
        </w:rPr>
        <w:t>11. 9. 2017</w:t>
      </w:r>
    </w:p>
    <w:p w:rsidR="001755C1" w:rsidRDefault="001755C1">
      <w:pPr>
        <w:jc w:val="center"/>
        <w:rPr>
          <w:b/>
          <w:sz w:val="24"/>
        </w:rPr>
      </w:pPr>
    </w:p>
    <w:p w:rsidR="005A5B31" w:rsidRPr="005A5B31" w:rsidRDefault="005A5B31" w:rsidP="005A5B31">
      <w:pPr>
        <w:jc w:val="center"/>
        <w:rPr>
          <w:b/>
          <w:sz w:val="24"/>
          <w:szCs w:val="24"/>
          <w:u w:val="single"/>
        </w:rPr>
      </w:pPr>
      <w:r w:rsidRPr="005A5B31">
        <w:rPr>
          <w:b/>
          <w:sz w:val="24"/>
          <w:szCs w:val="24"/>
          <w:u w:val="single"/>
        </w:rPr>
        <w:t>k Informac</w:t>
      </w:r>
      <w:r>
        <w:rPr>
          <w:b/>
          <w:sz w:val="24"/>
          <w:szCs w:val="24"/>
          <w:u w:val="single"/>
        </w:rPr>
        <w:t>i</w:t>
      </w:r>
      <w:r w:rsidRPr="005A5B31">
        <w:rPr>
          <w:b/>
          <w:sz w:val="24"/>
          <w:szCs w:val="24"/>
          <w:u w:val="single"/>
        </w:rPr>
        <w:t xml:space="preserve"> o aktuálním vývoji situace ve věci hazardu na území městské části Praha 10</w:t>
      </w:r>
    </w:p>
    <w:p w:rsidR="00EF503B" w:rsidRPr="00EF503B" w:rsidRDefault="005A5B31" w:rsidP="00EF503B">
      <w:pPr>
        <w:overflowPunct/>
        <w:autoSpaceDE/>
        <w:autoSpaceDN/>
        <w:adjustRightInd/>
        <w:textAlignment w:val="auto"/>
        <w:rPr>
          <w:sz w:val="24"/>
          <w:szCs w:val="24"/>
        </w:rPr>
      </w:pPr>
      <w:r>
        <w:rPr>
          <w:sz w:val="24"/>
          <w:szCs w:val="24"/>
        </w:rPr>
        <w:t xml:space="preserve">  </w:t>
      </w:r>
    </w:p>
    <w:p w:rsidR="00EF503B" w:rsidRPr="00EF503B" w:rsidRDefault="00EF503B" w:rsidP="00EF503B">
      <w:pPr>
        <w:overflowPunct/>
        <w:autoSpaceDE/>
        <w:autoSpaceDN/>
        <w:adjustRightInd/>
        <w:textAlignment w:val="auto"/>
        <w:rPr>
          <w:sz w:val="24"/>
          <w:szCs w:val="24"/>
        </w:rPr>
      </w:pPr>
    </w:p>
    <w:p w:rsidR="00EF503B" w:rsidRPr="00EF503B" w:rsidRDefault="00EF503B" w:rsidP="00EF503B">
      <w:pPr>
        <w:overflowPunct/>
        <w:autoSpaceDE/>
        <w:autoSpaceDN/>
        <w:adjustRightInd/>
        <w:textAlignment w:val="auto"/>
        <w:rPr>
          <w:sz w:val="24"/>
          <w:szCs w:val="24"/>
        </w:rPr>
      </w:pPr>
      <w:r w:rsidRPr="00EF503B">
        <w:rPr>
          <w:sz w:val="24"/>
          <w:szCs w:val="24"/>
        </w:rPr>
        <w:t>Zastupitelstvo městské části Praha 10</w:t>
      </w:r>
    </w:p>
    <w:p w:rsidR="00EF503B" w:rsidRPr="00EF503B" w:rsidRDefault="00EF503B" w:rsidP="00EF503B">
      <w:pPr>
        <w:overflowPunct/>
        <w:autoSpaceDE/>
        <w:autoSpaceDN/>
        <w:adjustRightInd/>
        <w:jc w:val="both"/>
        <w:textAlignment w:val="auto"/>
        <w:rPr>
          <w:sz w:val="24"/>
          <w:szCs w:val="24"/>
        </w:rPr>
      </w:pPr>
    </w:p>
    <w:p w:rsidR="00842832" w:rsidRDefault="00842832" w:rsidP="006F0F1B">
      <w:pPr>
        <w:numPr>
          <w:ilvl w:val="0"/>
          <w:numId w:val="6"/>
        </w:numPr>
        <w:ind w:left="709" w:hanging="349"/>
        <w:jc w:val="both"/>
        <w:rPr>
          <w:sz w:val="36"/>
          <w:szCs w:val="36"/>
        </w:rPr>
      </w:pPr>
      <w:r>
        <w:rPr>
          <w:sz w:val="36"/>
          <w:szCs w:val="36"/>
        </w:rPr>
        <w:t>bere na vědomí</w:t>
      </w:r>
    </w:p>
    <w:p w:rsidR="00842832" w:rsidRDefault="00842832" w:rsidP="00842832">
      <w:pPr>
        <w:ind w:left="709"/>
        <w:jc w:val="both"/>
        <w:rPr>
          <w:sz w:val="24"/>
          <w:szCs w:val="24"/>
        </w:rPr>
      </w:pPr>
      <w:r>
        <w:rPr>
          <w:sz w:val="24"/>
          <w:szCs w:val="24"/>
        </w:rPr>
        <w:t>informaci o aktuálním vývoji situace ve věci hazardu na území MČ Praha 10 dle důvodové zprávy předloženého materiálu</w:t>
      </w:r>
    </w:p>
    <w:p w:rsidR="00842832" w:rsidRDefault="00842832" w:rsidP="00842832">
      <w:pPr>
        <w:ind w:left="709"/>
        <w:jc w:val="both"/>
        <w:rPr>
          <w:sz w:val="24"/>
          <w:szCs w:val="24"/>
        </w:rPr>
      </w:pPr>
    </w:p>
    <w:p w:rsidR="00842832" w:rsidRDefault="00842832" w:rsidP="00842832">
      <w:pPr>
        <w:ind w:left="709"/>
        <w:jc w:val="both"/>
        <w:rPr>
          <w:sz w:val="24"/>
          <w:szCs w:val="24"/>
        </w:rPr>
      </w:pPr>
    </w:p>
    <w:p w:rsidR="00842832" w:rsidRPr="00081B71" w:rsidRDefault="006F0F1B" w:rsidP="006F0F1B">
      <w:pPr>
        <w:numPr>
          <w:ilvl w:val="0"/>
          <w:numId w:val="6"/>
        </w:numPr>
        <w:ind w:left="709" w:hanging="349"/>
        <w:jc w:val="both"/>
        <w:rPr>
          <w:sz w:val="36"/>
          <w:szCs w:val="36"/>
        </w:rPr>
      </w:pPr>
      <w:r>
        <w:rPr>
          <w:sz w:val="36"/>
          <w:szCs w:val="36"/>
        </w:rPr>
        <w:t xml:space="preserve"> </w:t>
      </w:r>
      <w:r w:rsidR="00842832" w:rsidRPr="00081B71">
        <w:rPr>
          <w:sz w:val="36"/>
          <w:szCs w:val="36"/>
        </w:rPr>
        <w:t>ukládá</w:t>
      </w:r>
    </w:p>
    <w:p w:rsidR="00842832" w:rsidRPr="00812051" w:rsidRDefault="00842832" w:rsidP="00842832">
      <w:pPr>
        <w:numPr>
          <w:ilvl w:val="0"/>
          <w:numId w:val="7"/>
        </w:numPr>
        <w:jc w:val="both"/>
        <w:rPr>
          <w:b/>
          <w:sz w:val="24"/>
          <w:szCs w:val="24"/>
        </w:rPr>
      </w:pPr>
      <w:r w:rsidRPr="00812051">
        <w:rPr>
          <w:b/>
          <w:sz w:val="24"/>
          <w:szCs w:val="24"/>
        </w:rPr>
        <w:t xml:space="preserve">Radě </w:t>
      </w:r>
      <w:r>
        <w:rPr>
          <w:b/>
          <w:sz w:val="24"/>
          <w:szCs w:val="24"/>
        </w:rPr>
        <w:t>m. č.</w:t>
      </w:r>
      <w:r w:rsidRPr="00812051">
        <w:rPr>
          <w:b/>
          <w:sz w:val="24"/>
          <w:szCs w:val="24"/>
        </w:rPr>
        <w:t xml:space="preserve"> Praha 10 </w:t>
      </w:r>
    </w:p>
    <w:p w:rsidR="00842832" w:rsidRDefault="00842832" w:rsidP="00842832">
      <w:pPr>
        <w:numPr>
          <w:ilvl w:val="1"/>
          <w:numId w:val="7"/>
        </w:numPr>
        <w:jc w:val="both"/>
        <w:rPr>
          <w:sz w:val="24"/>
          <w:szCs w:val="24"/>
        </w:rPr>
      </w:pPr>
      <w:r>
        <w:rPr>
          <w:sz w:val="24"/>
          <w:szCs w:val="24"/>
        </w:rPr>
        <w:t>písemně v</w:t>
      </w:r>
      <w:r w:rsidRPr="00812051">
        <w:rPr>
          <w:sz w:val="24"/>
          <w:szCs w:val="24"/>
        </w:rPr>
        <w:t xml:space="preserve">yzvat Zastupitelstvo hl. m. Prahy k zahájení procesu </w:t>
      </w:r>
      <w:r>
        <w:rPr>
          <w:sz w:val="24"/>
          <w:szCs w:val="24"/>
        </w:rPr>
        <w:t>novelizace</w:t>
      </w:r>
      <w:r w:rsidRPr="00812051">
        <w:rPr>
          <w:sz w:val="24"/>
          <w:szCs w:val="24"/>
        </w:rPr>
        <w:t xml:space="preserve"> obecně závazné vyhlášky </w:t>
      </w:r>
      <w:r>
        <w:rPr>
          <w:sz w:val="24"/>
          <w:szCs w:val="24"/>
        </w:rPr>
        <w:t>č. 10/2013 Sb. hl. m. Prahy, kterou se stanoví místa a čas, na kterých lze provozovat loterie a jiné podobné hry, a kterou se stanoví opatření k omezení jejich propagace, v platném znění</w:t>
      </w:r>
    </w:p>
    <w:p w:rsidR="00842832" w:rsidRDefault="00842832" w:rsidP="00842832">
      <w:pPr>
        <w:jc w:val="both"/>
        <w:rPr>
          <w:sz w:val="24"/>
          <w:szCs w:val="24"/>
        </w:rPr>
      </w:pPr>
    </w:p>
    <w:p w:rsidR="00842832" w:rsidRDefault="00842832" w:rsidP="00842832">
      <w:pPr>
        <w:jc w:val="right"/>
        <w:rPr>
          <w:sz w:val="24"/>
          <w:szCs w:val="24"/>
        </w:rPr>
      </w:pPr>
      <w:r>
        <w:rPr>
          <w:sz w:val="24"/>
          <w:szCs w:val="24"/>
        </w:rPr>
        <w:t>Termín: 31. 10. 2017</w:t>
      </w:r>
    </w:p>
    <w:p w:rsidR="00842832" w:rsidRDefault="00842832" w:rsidP="00842832">
      <w:pPr>
        <w:ind w:left="709"/>
        <w:jc w:val="both"/>
        <w:rPr>
          <w:sz w:val="24"/>
          <w:szCs w:val="24"/>
        </w:rPr>
      </w:pPr>
    </w:p>
    <w:p w:rsidR="00842832" w:rsidRDefault="00842832" w:rsidP="00842832">
      <w:pPr>
        <w:ind w:left="426"/>
        <w:jc w:val="both"/>
      </w:pPr>
    </w:p>
    <w:p w:rsidR="00842832" w:rsidRPr="00AC6DE8" w:rsidRDefault="00842832" w:rsidP="00842832">
      <w:pPr>
        <w:jc w:val="both"/>
        <w:rPr>
          <w:bCs/>
        </w:rPr>
      </w:pPr>
    </w:p>
    <w:p w:rsidR="00842832" w:rsidRDefault="00842832" w:rsidP="00842832">
      <w:pPr>
        <w:jc w:val="both"/>
        <w:rPr>
          <w:bCs/>
        </w:rPr>
      </w:pPr>
    </w:p>
    <w:p w:rsidR="00842832" w:rsidRDefault="00842832" w:rsidP="00842832">
      <w:pPr>
        <w:jc w:val="both"/>
        <w:rPr>
          <w:bCs/>
        </w:rPr>
      </w:pPr>
    </w:p>
    <w:p w:rsidR="00842832" w:rsidRDefault="00842832" w:rsidP="00842832">
      <w:pPr>
        <w:jc w:val="both"/>
        <w:rPr>
          <w:bCs/>
        </w:rPr>
      </w:pPr>
    </w:p>
    <w:p w:rsidR="00842832" w:rsidRDefault="00842832" w:rsidP="00842832">
      <w:pPr>
        <w:jc w:val="both"/>
        <w:rPr>
          <w:bCs/>
        </w:rPr>
      </w:pPr>
    </w:p>
    <w:p w:rsidR="00842832" w:rsidRDefault="00842832" w:rsidP="00842832">
      <w:pPr>
        <w:jc w:val="both"/>
        <w:rPr>
          <w:bCs/>
        </w:rPr>
      </w:pPr>
    </w:p>
    <w:p w:rsidR="00842832" w:rsidRDefault="00842832" w:rsidP="00842832">
      <w:pPr>
        <w:jc w:val="both"/>
        <w:rPr>
          <w:bCs/>
        </w:rPr>
      </w:pPr>
    </w:p>
    <w:p w:rsidR="00842832" w:rsidRDefault="00842832" w:rsidP="00842832">
      <w:pPr>
        <w:jc w:val="both"/>
        <w:rPr>
          <w:bCs/>
        </w:rPr>
      </w:pPr>
    </w:p>
    <w:p w:rsidR="00842832" w:rsidRDefault="00842832" w:rsidP="00842832">
      <w:pPr>
        <w:jc w:val="both"/>
        <w:rPr>
          <w:bCs/>
        </w:rPr>
      </w:pPr>
    </w:p>
    <w:p w:rsidR="00842832" w:rsidRDefault="00842832" w:rsidP="00842832">
      <w:pPr>
        <w:jc w:val="both"/>
        <w:rPr>
          <w:bCs/>
        </w:rPr>
      </w:pPr>
    </w:p>
    <w:p w:rsidR="00842832" w:rsidRDefault="00842832" w:rsidP="00842832">
      <w:pPr>
        <w:jc w:val="both"/>
        <w:rPr>
          <w:bCs/>
        </w:rPr>
      </w:pPr>
    </w:p>
    <w:p w:rsidR="00842832" w:rsidRDefault="00842832" w:rsidP="00842832">
      <w:pPr>
        <w:rPr>
          <w:sz w:val="24"/>
          <w:szCs w:val="24"/>
        </w:rPr>
      </w:pPr>
      <w:r w:rsidRPr="00F253A4">
        <w:rPr>
          <w:sz w:val="24"/>
          <w:szCs w:val="24"/>
        </w:rPr>
        <w:t>Předkladatel:</w:t>
      </w:r>
      <w:r w:rsidRPr="00F253A4">
        <w:rPr>
          <w:sz w:val="24"/>
          <w:szCs w:val="24"/>
        </w:rPr>
        <w:tab/>
        <w:t xml:space="preserve">  </w:t>
      </w:r>
      <w:r>
        <w:rPr>
          <w:sz w:val="24"/>
          <w:szCs w:val="24"/>
        </w:rPr>
        <w:t xml:space="preserve">Mgr. Zoufalík, uvolněný člen RMČ </w:t>
      </w:r>
    </w:p>
    <w:p w:rsidR="00842832" w:rsidRPr="000D1C85" w:rsidRDefault="00842832" w:rsidP="00842832">
      <w:pPr>
        <w:rPr>
          <w:sz w:val="24"/>
          <w:szCs w:val="24"/>
        </w:rPr>
      </w:pPr>
      <w:r w:rsidRPr="00F253A4">
        <w:rPr>
          <w:sz w:val="24"/>
          <w:szCs w:val="24"/>
        </w:rPr>
        <w:t xml:space="preserve">Číslo tisku:     </w:t>
      </w:r>
      <w:r>
        <w:rPr>
          <w:sz w:val="24"/>
          <w:szCs w:val="24"/>
        </w:rPr>
        <w:t xml:space="preserve">  </w:t>
      </w:r>
      <w:r w:rsidRPr="00CB2661">
        <w:rPr>
          <w:sz w:val="24"/>
          <w:szCs w:val="24"/>
        </w:rPr>
        <w:t>P10-078974/2017</w:t>
      </w:r>
      <w:r>
        <w:rPr>
          <w:sz w:val="24"/>
          <w:szCs w:val="24"/>
        </w:rPr>
        <w:t xml:space="preserve">   </w:t>
      </w:r>
    </w:p>
    <w:p w:rsidR="00EF503B" w:rsidRPr="00EF503B" w:rsidRDefault="00EF503B" w:rsidP="00EF503B">
      <w:pPr>
        <w:pStyle w:val="Nadpis3"/>
        <w:rPr>
          <w:sz w:val="32"/>
        </w:rPr>
      </w:pPr>
    </w:p>
    <w:p w:rsidR="00842832" w:rsidRDefault="00842832" w:rsidP="00EF503B">
      <w:pPr>
        <w:overflowPunct/>
        <w:autoSpaceDE/>
        <w:autoSpaceDN/>
        <w:adjustRightInd/>
        <w:jc w:val="center"/>
        <w:textAlignment w:val="auto"/>
        <w:rPr>
          <w:sz w:val="32"/>
          <w:szCs w:val="24"/>
        </w:rPr>
      </w:pPr>
    </w:p>
    <w:p w:rsidR="00842832" w:rsidRDefault="00842832" w:rsidP="00EF503B">
      <w:pPr>
        <w:overflowPunct/>
        <w:autoSpaceDE/>
        <w:autoSpaceDN/>
        <w:adjustRightInd/>
        <w:jc w:val="center"/>
        <w:textAlignment w:val="auto"/>
        <w:rPr>
          <w:sz w:val="32"/>
          <w:szCs w:val="24"/>
        </w:rPr>
      </w:pPr>
    </w:p>
    <w:p w:rsidR="00842832" w:rsidRDefault="00842832" w:rsidP="00EF503B">
      <w:pPr>
        <w:overflowPunct/>
        <w:autoSpaceDE/>
        <w:autoSpaceDN/>
        <w:adjustRightInd/>
        <w:jc w:val="center"/>
        <w:textAlignment w:val="auto"/>
        <w:rPr>
          <w:sz w:val="32"/>
          <w:szCs w:val="24"/>
        </w:rPr>
      </w:pPr>
    </w:p>
    <w:p w:rsidR="00842832" w:rsidRDefault="00842832" w:rsidP="00EF503B">
      <w:pPr>
        <w:overflowPunct/>
        <w:autoSpaceDE/>
        <w:autoSpaceDN/>
        <w:adjustRightInd/>
        <w:jc w:val="center"/>
        <w:textAlignment w:val="auto"/>
        <w:rPr>
          <w:sz w:val="32"/>
          <w:szCs w:val="24"/>
        </w:rPr>
      </w:pPr>
    </w:p>
    <w:p w:rsidR="00160E77" w:rsidRPr="008C1464" w:rsidRDefault="00160E77" w:rsidP="00160E77">
      <w:pPr>
        <w:pStyle w:val="Zhlav"/>
        <w:jc w:val="center"/>
        <w:rPr>
          <w:b/>
          <w:sz w:val="24"/>
          <w:szCs w:val="24"/>
          <w:u w:val="single"/>
        </w:rPr>
      </w:pPr>
      <w:r w:rsidRPr="00811111">
        <w:rPr>
          <w:b/>
          <w:sz w:val="24"/>
          <w:szCs w:val="24"/>
          <w:u w:val="single"/>
        </w:rPr>
        <w:t>Důvodová zpráva</w:t>
      </w:r>
    </w:p>
    <w:p w:rsidR="00160E77" w:rsidRPr="008C1464" w:rsidRDefault="00160E77" w:rsidP="00160E77">
      <w:pPr>
        <w:ind w:left="480" w:hanging="480"/>
        <w:jc w:val="both"/>
        <w:rPr>
          <w:sz w:val="24"/>
          <w:szCs w:val="24"/>
        </w:rPr>
      </w:pPr>
    </w:p>
    <w:p w:rsidR="00160E77" w:rsidRPr="00936DF9" w:rsidRDefault="00160E77" w:rsidP="00160E77">
      <w:pPr>
        <w:pStyle w:val="Normlnweb"/>
        <w:numPr>
          <w:ilvl w:val="0"/>
          <w:numId w:val="10"/>
        </w:numPr>
        <w:spacing w:before="0" w:beforeAutospacing="0" w:after="0" w:afterAutospacing="0"/>
        <w:jc w:val="both"/>
        <w:rPr>
          <w:rFonts w:eastAsia="Tahoma"/>
          <w:b/>
          <w:u w:val="single"/>
          <w:lang w:eastAsia="ar-SA"/>
        </w:rPr>
      </w:pPr>
      <w:r w:rsidRPr="00936DF9">
        <w:rPr>
          <w:rFonts w:eastAsia="Tahoma"/>
          <w:b/>
          <w:u w:val="single"/>
          <w:lang w:eastAsia="ar-SA"/>
        </w:rPr>
        <w:t>ÚVOD</w:t>
      </w: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 xml:space="preserve">Městská část Praha 10 dlouhodobě usiluje o regulaci hazardu na svém území. Jak bude dále uvedeno, od roku 2007, kdy bylo na území městské části 140 míst, na kterých bylo možno provozovat loterie a jiné podobné hry, došlo k jejich značné regulaci. </w:t>
      </w:r>
    </w:p>
    <w:p w:rsidR="00160E77" w:rsidRDefault="00160E77" w:rsidP="00160E77">
      <w:pPr>
        <w:pStyle w:val="Normlnweb"/>
        <w:spacing w:before="0" w:beforeAutospacing="0" w:after="0" w:afterAutospacing="0"/>
        <w:jc w:val="both"/>
        <w:rPr>
          <w:rFonts w:eastAsia="Tahoma"/>
          <w:lang w:eastAsia="ar-SA"/>
        </w:rPr>
      </w:pPr>
    </w:p>
    <w:p w:rsidR="00160E77" w:rsidRPr="00936DF9" w:rsidRDefault="00160E77" w:rsidP="00160E77">
      <w:pPr>
        <w:pStyle w:val="Normlnweb"/>
        <w:numPr>
          <w:ilvl w:val="0"/>
          <w:numId w:val="10"/>
        </w:numPr>
        <w:spacing w:before="0" w:beforeAutospacing="0" w:after="0" w:afterAutospacing="0"/>
        <w:jc w:val="both"/>
        <w:rPr>
          <w:rFonts w:eastAsia="Tahoma"/>
          <w:b/>
          <w:u w:val="single"/>
          <w:lang w:eastAsia="ar-SA"/>
        </w:rPr>
      </w:pPr>
      <w:r w:rsidRPr="00936DF9">
        <w:rPr>
          <w:rFonts w:eastAsia="Tahoma"/>
          <w:b/>
          <w:u w:val="single"/>
          <w:lang w:eastAsia="ar-SA"/>
        </w:rPr>
        <w:t>HISTORICKÝ VÝVOJ</w:t>
      </w: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V rámci připomínkového řízení k návrhu obecně závazné vyhlášky, kterou se stanoví místa a čas, na kterých lze provozovat loterie a jiné podobné hry (dále též jen jako „OZV“), konstatovala Rada MČ Praha 10 usnesením č. 1042 ze dne 2. 11. 2011, že snahou městské části Praha 10 je výrazné omezení provozu loterií a jiných podobných her na jejím území, a to minimálně o 50 %. Městská část Praha 10 jako jediná v hl. m. Praze navrhla časové omezení provozu loterií od 10:00 do 22:00 hod. Toto opatření bylo zavedeno od 1. 1. 2012.</w:t>
      </w:r>
    </w:p>
    <w:p w:rsidR="00160E77" w:rsidRDefault="00160E77" w:rsidP="00160E77">
      <w:pPr>
        <w:pStyle w:val="Normlnweb"/>
        <w:spacing w:before="0" w:beforeAutospacing="0" w:after="0" w:afterAutospacing="0"/>
        <w:jc w:val="both"/>
        <w:rPr>
          <w:rFonts w:eastAsia="Tahoma"/>
          <w:lang w:eastAsia="ar-SA"/>
        </w:rPr>
      </w:pP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V roce 2013 následně Rada hl. m. Prahy přijala usnesení č. 745 ze dne 7. 5. 2013, kterým bylo zahájeno připomínkové řízení v rámci novelizace OZV. Tímto usnesením Rada hl. m. Prahy zároveň schválila „Pravidla pro výběr míst, která mohou být uvedena v příloze vyhlášky“ (dále jen „Pravidla“), kterými se pražské městské části v rámci připomínkového řízení řídily.</w:t>
      </w:r>
    </w:p>
    <w:p w:rsidR="00160E77" w:rsidRDefault="00160E77" w:rsidP="00160E77">
      <w:pPr>
        <w:pStyle w:val="Normlnweb"/>
        <w:spacing w:before="0" w:beforeAutospacing="0" w:after="0" w:afterAutospacing="0"/>
        <w:jc w:val="both"/>
        <w:rPr>
          <w:rFonts w:eastAsia="Tahoma"/>
          <w:lang w:eastAsia="ar-SA"/>
        </w:rPr>
      </w:pP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 xml:space="preserve">Dle doporučených „Pravidel“ byla ze strany zaměstnanců m. č. Praha 10 provedena rozsáhlá místní šetření na všech místech provozu výherních hracích přístrojů na území MČ Prahy 10. Zpracované výsledky byly předloženy na zasedání RMČ dne 5. 6. 2013, která svým usnesením č. 559 mj. odsouhlasila připomínky k novele OZV spočívající v redukci počtu míst, na kterých lze provozovat loterie a jiné podobné hry. Městská část Praha 10 na základě tohoto usnesení RMČ navrhla, aby z přílohy stávající OZV č. 18/2011 Sb., byla vypuštěna: </w:t>
      </w:r>
    </w:p>
    <w:p w:rsidR="00160E77" w:rsidRDefault="00160E77" w:rsidP="00160E77">
      <w:pPr>
        <w:pStyle w:val="Normlnweb"/>
        <w:numPr>
          <w:ilvl w:val="0"/>
          <w:numId w:val="8"/>
        </w:numPr>
        <w:spacing w:before="0" w:beforeAutospacing="0" w:after="0" w:afterAutospacing="0"/>
        <w:jc w:val="both"/>
        <w:rPr>
          <w:rFonts w:eastAsia="Tahoma"/>
          <w:lang w:eastAsia="ar-SA"/>
        </w:rPr>
      </w:pPr>
      <w:r>
        <w:rPr>
          <w:rFonts w:eastAsia="Tahoma"/>
          <w:lang w:eastAsia="ar-SA"/>
        </w:rPr>
        <w:t>Místa, kde již nejsou v provozu loterie ani jiné podobné hry – 2 adresy;</w:t>
      </w:r>
    </w:p>
    <w:p w:rsidR="00160E77" w:rsidRDefault="00160E77" w:rsidP="00160E77">
      <w:pPr>
        <w:pStyle w:val="Normlnweb"/>
        <w:numPr>
          <w:ilvl w:val="0"/>
          <w:numId w:val="8"/>
        </w:numPr>
        <w:spacing w:before="0" w:beforeAutospacing="0" w:after="0" w:afterAutospacing="0"/>
        <w:jc w:val="both"/>
        <w:rPr>
          <w:rFonts w:eastAsia="Tahoma"/>
          <w:lang w:eastAsia="ar-SA"/>
        </w:rPr>
      </w:pPr>
      <w:r>
        <w:rPr>
          <w:rFonts w:eastAsia="Tahoma"/>
          <w:lang w:eastAsia="ar-SA"/>
        </w:rPr>
        <w:t>Místa, která byla určena dle „Pravidel“ jako provozovny se zvláštním provozním režimem (pohostinské nebo restaurační zařízení) 23 adresy;</w:t>
      </w:r>
    </w:p>
    <w:p w:rsidR="00160E77" w:rsidRDefault="00160E77" w:rsidP="00160E77">
      <w:pPr>
        <w:pStyle w:val="Normlnweb"/>
        <w:numPr>
          <w:ilvl w:val="0"/>
          <w:numId w:val="8"/>
        </w:numPr>
        <w:spacing w:before="0" w:beforeAutospacing="0" w:after="0" w:afterAutospacing="0"/>
        <w:jc w:val="both"/>
        <w:rPr>
          <w:rFonts w:eastAsia="Tahoma"/>
          <w:lang w:eastAsia="ar-SA"/>
        </w:rPr>
      </w:pPr>
      <w:r>
        <w:rPr>
          <w:rFonts w:eastAsia="Tahoma"/>
          <w:lang w:eastAsia="ar-SA"/>
        </w:rPr>
        <w:t>Místa se zvýšeným výskytem trestné činnosti – 12 adres;</w:t>
      </w:r>
    </w:p>
    <w:p w:rsidR="00160E77" w:rsidRDefault="00160E77" w:rsidP="00160E77">
      <w:pPr>
        <w:pStyle w:val="Normlnweb"/>
        <w:numPr>
          <w:ilvl w:val="0"/>
          <w:numId w:val="8"/>
        </w:numPr>
        <w:spacing w:before="0" w:beforeAutospacing="0" w:after="0" w:afterAutospacing="0"/>
        <w:jc w:val="both"/>
        <w:rPr>
          <w:rFonts w:eastAsia="Tahoma"/>
          <w:lang w:eastAsia="ar-SA"/>
        </w:rPr>
      </w:pPr>
      <w:r>
        <w:rPr>
          <w:rFonts w:eastAsia="Tahoma"/>
          <w:lang w:eastAsia="ar-SA"/>
        </w:rPr>
        <w:t>Místa nacházející se v blízkosti škol, školských zařízení, zařízení zdravotní a sociální péče – celkem 8 adres.</w:t>
      </w: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Počet míst provozu výherních hracích přístrojů byl zredukován ze 106 míst uvedených v příloze tehdy platné OZV na 61 míst.</w:t>
      </w:r>
    </w:p>
    <w:p w:rsidR="00160E77" w:rsidRDefault="00160E77" w:rsidP="00160E77">
      <w:pPr>
        <w:pStyle w:val="Normlnweb"/>
        <w:spacing w:before="0" w:beforeAutospacing="0" w:after="0" w:afterAutospacing="0"/>
        <w:jc w:val="both"/>
        <w:rPr>
          <w:rFonts w:eastAsia="Tahoma"/>
          <w:lang w:eastAsia="ar-SA"/>
        </w:rPr>
      </w:pP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 xml:space="preserve">Na základě proběhlých místních šetření následně m. č. Praha 10 rozšířila své připomínky k návrhu novely OZV, když na základě usnesení RMČ č. 719 ze dne 10. 7. 2013 a č. 824 ze dne 28. 8. 2013 v rámci připomínkového řízení </w:t>
      </w:r>
      <w:r w:rsidRPr="00BD1CBB">
        <w:t xml:space="preserve">vyhlášeného MHMP navrhla další významnou redukci počtu míst, na kterých lze provozovat loterie a jiné podobné hry. Hlavní město Praha </w:t>
      </w:r>
      <w:r>
        <w:rPr>
          <w:rFonts w:eastAsia="Tahoma"/>
          <w:lang w:eastAsia="ar-SA"/>
        </w:rPr>
        <w:t xml:space="preserve">následně příslušnou OZV novelizovalo a přijalo. Takto došlo ke snížení počtu dalších míst provozu výherních hracích přístrojů, když bylo z přílohy stávající OZV vyřazeno dalších 13 provozoven, kde se již neprovozovaly loterie a jiné podobné hry a dalších 19 provozoven, které dle výkladu MHMP neměly status herny. </w:t>
      </w:r>
    </w:p>
    <w:p w:rsidR="00160E77" w:rsidRDefault="00160E77" w:rsidP="00160E77">
      <w:pPr>
        <w:pStyle w:val="Normlnweb"/>
        <w:spacing w:before="0" w:beforeAutospacing="0" w:after="0" w:afterAutospacing="0"/>
        <w:jc w:val="both"/>
        <w:rPr>
          <w:rFonts w:eastAsia="Tahoma"/>
          <w:lang w:eastAsia="ar-SA"/>
        </w:rPr>
      </w:pP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Tím došlo k výraznému snížení počtu provozovatelských míst z původních 140 v roce 2007 na 31 v roce 2013. Zároveň došlo k poklesu provozovaných výherních hracích přístrojů, a to z 1 062 provozovaných v roce 2007 na 66 povolených na rok 2013.</w:t>
      </w:r>
    </w:p>
    <w:p w:rsidR="00160E77" w:rsidRDefault="00160E77" w:rsidP="00160E77">
      <w:pPr>
        <w:pStyle w:val="Normlnweb"/>
        <w:spacing w:before="0" w:beforeAutospacing="0" w:after="0" w:afterAutospacing="0"/>
        <w:jc w:val="both"/>
        <w:rPr>
          <w:rFonts w:eastAsia="Tahoma"/>
          <w:lang w:eastAsia="ar-SA"/>
        </w:rPr>
      </w:pP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lastRenderedPageBreak/>
        <w:t xml:space="preserve">K další redukci došlo s účinností od 5. 10. 2013, kdy nabyla platnosti OZV č. 10/2013 Sb. hl. m. Prahy, kterou se stanoví místa a čas, na kterých lze provozovat loterie a jiné podobné hry, a kterou se stanoví opatření k omezení jejich propagace. Na území MČ Praha 10 bylo 31 adres, na kterých lze provozovat loterie a jiné podobné hry s časovým omezením od 10:00 do 22:00 hod. </w:t>
      </w:r>
    </w:p>
    <w:p w:rsidR="00160E77" w:rsidRDefault="00160E77" w:rsidP="00160E77">
      <w:pPr>
        <w:pStyle w:val="Normlnweb"/>
        <w:spacing w:before="0" w:beforeAutospacing="0" w:after="0" w:afterAutospacing="0"/>
        <w:jc w:val="both"/>
        <w:rPr>
          <w:rFonts w:eastAsia="Tahoma"/>
          <w:lang w:eastAsia="ar-SA"/>
        </w:rPr>
      </w:pPr>
    </w:p>
    <w:p w:rsidR="00160E77" w:rsidRDefault="00160E77" w:rsidP="00160E77">
      <w:pPr>
        <w:pStyle w:val="Normlnweb"/>
        <w:jc w:val="both"/>
        <w:rPr>
          <w:rFonts w:eastAsia="Tahoma"/>
          <w:lang w:eastAsia="ar-SA"/>
        </w:rPr>
      </w:pPr>
      <w:r>
        <w:rPr>
          <w:rFonts w:eastAsia="Tahoma"/>
          <w:lang w:eastAsia="ar-SA"/>
        </w:rPr>
        <w:t xml:space="preserve">Zastupitelstvo hl. m. Prahy vydalo OZV č. </w:t>
      </w:r>
      <w:r w:rsidRPr="002A0A83">
        <w:rPr>
          <w:rFonts w:eastAsia="Tahoma"/>
          <w:lang w:eastAsia="ar-SA"/>
        </w:rPr>
        <w:t xml:space="preserve">10/2015 </w:t>
      </w:r>
      <w:r>
        <w:rPr>
          <w:rFonts w:eastAsia="Tahoma"/>
          <w:lang w:eastAsia="ar-SA"/>
        </w:rPr>
        <w:t xml:space="preserve">Sb. hl. m. Prahy, </w:t>
      </w:r>
      <w:r w:rsidRPr="002A0A83">
        <w:rPr>
          <w:rFonts w:eastAsia="Tahoma"/>
          <w:lang w:eastAsia="ar-SA"/>
        </w:rPr>
        <w:t>kterou se mění obecně závazná vyhláška č. 10/2013 Sb. hl. m. Prahy, kterou se stanoví místa a čas, na kterých lze provozovat loterie a jiné podobné hry, a kterou se stanoví opatření k omezení jejich propagace</w:t>
      </w:r>
      <w:r>
        <w:rPr>
          <w:rFonts w:eastAsia="Tahoma"/>
          <w:lang w:eastAsia="ar-SA"/>
        </w:rPr>
        <w:t>, ve které byl snížen s účinností od 1. 1. 2016 počet míst na kterých lze provozovat hazardní hry na 14.</w:t>
      </w:r>
    </w:p>
    <w:p w:rsidR="00160E77" w:rsidRPr="00936DF9" w:rsidRDefault="00160E77" w:rsidP="00160E77">
      <w:pPr>
        <w:pStyle w:val="Normlnweb"/>
        <w:jc w:val="both"/>
        <w:rPr>
          <w:rFonts w:eastAsia="Tahoma"/>
          <w:b/>
          <w:u w:val="single"/>
          <w:lang w:eastAsia="ar-SA"/>
        </w:rPr>
      </w:pPr>
      <w:r w:rsidRPr="00936DF9">
        <w:rPr>
          <w:rFonts w:eastAsia="Tahoma"/>
          <w:b/>
          <w:u w:val="single"/>
          <w:lang w:eastAsia="ar-SA"/>
        </w:rPr>
        <w:t>Přehled</w:t>
      </w:r>
      <w:r>
        <w:rPr>
          <w:rFonts w:eastAsia="Tahoma"/>
          <w:b/>
          <w:u w:val="single"/>
          <w:lang w:eastAsia="ar-SA"/>
        </w:rPr>
        <w:t xml:space="preserve"> historického vývoje</w:t>
      </w:r>
      <w:r w:rsidRPr="00936DF9">
        <w:rPr>
          <w:rFonts w:eastAsia="Tahoma"/>
          <w:b/>
          <w:u w:val="single"/>
          <w:lang w:eastAsia="ar-SA"/>
        </w:rPr>
        <w:t>:</w:t>
      </w:r>
    </w:p>
    <w:p w:rsidR="00160E77" w:rsidRDefault="00160E77" w:rsidP="00160E77">
      <w:pPr>
        <w:pStyle w:val="Normlnweb"/>
        <w:numPr>
          <w:ilvl w:val="0"/>
          <w:numId w:val="9"/>
        </w:numPr>
        <w:spacing w:before="0" w:beforeAutospacing="0" w:after="0" w:afterAutospacing="0"/>
        <w:ind w:left="284" w:hanging="284"/>
        <w:jc w:val="both"/>
        <w:rPr>
          <w:rFonts w:eastAsia="Tahoma"/>
          <w:lang w:eastAsia="ar-SA"/>
        </w:rPr>
      </w:pPr>
      <w:r>
        <w:rPr>
          <w:rFonts w:eastAsia="Tahoma"/>
          <w:lang w:eastAsia="ar-SA"/>
        </w:rPr>
        <w:t>140 míst provozu v roce 2007 (OZV č. 19/2007 Sb. hl. m. Prahy) - povoleno 1062 ks VHP</w:t>
      </w:r>
    </w:p>
    <w:p w:rsidR="00160E77" w:rsidRDefault="00160E77" w:rsidP="00160E77">
      <w:pPr>
        <w:pStyle w:val="Normlnweb"/>
        <w:numPr>
          <w:ilvl w:val="0"/>
          <w:numId w:val="9"/>
        </w:numPr>
        <w:spacing w:before="0" w:beforeAutospacing="0" w:after="0" w:afterAutospacing="0"/>
        <w:ind w:left="284" w:hanging="284"/>
        <w:jc w:val="both"/>
        <w:rPr>
          <w:rFonts w:eastAsia="Tahoma"/>
          <w:lang w:eastAsia="ar-SA"/>
        </w:rPr>
      </w:pPr>
      <w:r>
        <w:rPr>
          <w:rFonts w:eastAsia="Tahoma"/>
          <w:lang w:eastAsia="ar-SA"/>
        </w:rPr>
        <w:t>106 míst provozu v roce 2012 (OZV č. 18/2011 Sb. hl. m. Prahy) - povoleno 396 ks VHP</w:t>
      </w:r>
    </w:p>
    <w:p w:rsidR="00160E77" w:rsidRDefault="00160E77" w:rsidP="00160E77">
      <w:pPr>
        <w:pStyle w:val="Normlnweb"/>
        <w:numPr>
          <w:ilvl w:val="0"/>
          <w:numId w:val="9"/>
        </w:numPr>
        <w:spacing w:before="0" w:beforeAutospacing="0" w:after="0" w:afterAutospacing="0"/>
        <w:ind w:left="284" w:hanging="284"/>
        <w:jc w:val="both"/>
        <w:rPr>
          <w:rFonts w:eastAsia="Tahoma"/>
          <w:lang w:eastAsia="ar-SA"/>
        </w:rPr>
      </w:pPr>
      <w:r>
        <w:rPr>
          <w:rFonts w:eastAsia="Tahoma"/>
          <w:lang w:eastAsia="ar-SA"/>
        </w:rPr>
        <w:t xml:space="preserve"> 31 míst provozu v roce 2013 (OZV č. 10/2013 Sb. hl. m. Prahy) - povoleno 254 ks VHP</w:t>
      </w:r>
    </w:p>
    <w:p w:rsidR="00160E77" w:rsidRDefault="00160E77" w:rsidP="00160E77">
      <w:pPr>
        <w:pStyle w:val="Normlnweb"/>
        <w:numPr>
          <w:ilvl w:val="0"/>
          <w:numId w:val="9"/>
        </w:numPr>
        <w:spacing w:before="0" w:beforeAutospacing="0" w:after="0" w:afterAutospacing="0"/>
        <w:ind w:left="284" w:hanging="284"/>
        <w:jc w:val="both"/>
        <w:rPr>
          <w:rFonts w:eastAsia="Tahoma"/>
          <w:lang w:eastAsia="ar-SA"/>
        </w:rPr>
      </w:pPr>
      <w:r>
        <w:rPr>
          <w:rFonts w:eastAsia="Tahoma"/>
          <w:lang w:eastAsia="ar-SA"/>
        </w:rPr>
        <w:t xml:space="preserve"> 14 míst provozu v roce 2016 (OZV č. 10/2015 Sb. hl. m. Prahy) - povoleno 42 ks VHP </w:t>
      </w:r>
    </w:p>
    <w:p w:rsidR="00160E77" w:rsidRDefault="00160E77" w:rsidP="00160E77">
      <w:pPr>
        <w:pStyle w:val="Normlnweb"/>
        <w:numPr>
          <w:ilvl w:val="0"/>
          <w:numId w:val="9"/>
        </w:numPr>
        <w:spacing w:before="0" w:beforeAutospacing="0" w:after="0" w:afterAutospacing="0"/>
        <w:ind w:left="284" w:hanging="284"/>
        <w:jc w:val="both"/>
        <w:rPr>
          <w:rFonts w:eastAsia="Tahoma"/>
          <w:lang w:eastAsia="ar-SA"/>
        </w:rPr>
      </w:pPr>
      <w:r>
        <w:rPr>
          <w:rFonts w:eastAsia="Tahoma"/>
          <w:lang w:eastAsia="ar-SA"/>
        </w:rPr>
        <w:t xml:space="preserve"> 14 míst provozu v roce 2017 (OZV č. 10/2015 Sb. hl. m. Prahy) - povoleno 0 ks VHP</w:t>
      </w:r>
    </w:p>
    <w:p w:rsidR="00160E77" w:rsidRDefault="00160E77" w:rsidP="00160E77">
      <w:pPr>
        <w:pStyle w:val="Normlnweb"/>
        <w:spacing w:before="0" w:beforeAutospacing="0" w:after="0" w:afterAutospacing="0"/>
        <w:jc w:val="both"/>
        <w:rPr>
          <w:rFonts w:eastAsia="Tahoma"/>
          <w:lang w:eastAsia="ar-SA"/>
        </w:rPr>
      </w:pPr>
    </w:p>
    <w:p w:rsidR="00160E77" w:rsidRPr="00936DF9" w:rsidRDefault="00160E77" w:rsidP="00571716">
      <w:pPr>
        <w:pStyle w:val="Normlnweb"/>
        <w:numPr>
          <w:ilvl w:val="0"/>
          <w:numId w:val="10"/>
        </w:numPr>
        <w:spacing w:before="0" w:beforeAutospacing="0" w:after="0" w:afterAutospacing="0"/>
        <w:ind w:left="567" w:hanging="567"/>
        <w:jc w:val="both"/>
        <w:rPr>
          <w:rFonts w:eastAsia="Tahoma"/>
          <w:b/>
          <w:u w:val="single"/>
          <w:lang w:eastAsia="ar-SA"/>
        </w:rPr>
      </w:pPr>
      <w:r>
        <w:rPr>
          <w:rFonts w:eastAsia="Tahoma"/>
          <w:b/>
          <w:u w:val="single"/>
          <w:lang w:eastAsia="ar-SA"/>
        </w:rPr>
        <w:t xml:space="preserve"> LEGISLATIVNÍ RÁMEC </w:t>
      </w:r>
      <w:r w:rsidRPr="00936DF9">
        <w:rPr>
          <w:rFonts w:eastAsia="Tahoma"/>
          <w:b/>
          <w:u w:val="single"/>
          <w:lang w:eastAsia="ar-SA"/>
        </w:rPr>
        <w:t>PRAVOMOC</w:t>
      </w:r>
      <w:r>
        <w:rPr>
          <w:rFonts w:eastAsia="Tahoma"/>
          <w:b/>
          <w:u w:val="single"/>
          <w:lang w:eastAsia="ar-SA"/>
        </w:rPr>
        <w:t>Í</w:t>
      </w:r>
      <w:r w:rsidRPr="00936DF9">
        <w:rPr>
          <w:rFonts w:eastAsia="Tahoma"/>
          <w:b/>
          <w:u w:val="single"/>
          <w:lang w:eastAsia="ar-SA"/>
        </w:rPr>
        <w:t xml:space="preserve"> MČ PRAHA 10</w:t>
      </w:r>
      <w:r>
        <w:rPr>
          <w:rFonts w:eastAsia="Tahoma"/>
          <w:b/>
          <w:u w:val="single"/>
          <w:lang w:eastAsia="ar-SA"/>
        </w:rPr>
        <w:t xml:space="preserve"> NA ÚSEKU REGULACE HAZARDU </w:t>
      </w: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 xml:space="preserve">Dle § 12 zákona č. 186/2016 Sb., o hazardních hrách, může obec na základě zvláštního zákona vydat obecně závaznou vyhlášku (dále jen OZV). Touto OZV lze stanovit, že hazardní hry mohou být provozovány pouze na místech a v čase určených OZV, nebo na kterých místech a v jakém čase je v obci provozování těchto hazardních her zakázáno. Prostřednictvím OZV lze také stanovit, že provozování těchto hazardních her je na celém území obce zakázáno zcela. K tomu je však třeba sdělit, že obcí se v tomto případě rozumí hlavní město Praha (tj. nikoli jeho městská část), jehož zastupitelstvo má zákonné zmocnění k regulaci záležitostí místního pořádku (vyhláškou zakotveno § 44 odst. 3 písm. a) zákona č. 131/2000 Sb., o hlavním městě Praze, ve znění pozdějších předpisů). Městské části nemají žádné zákonné kompetence k vydání vlastních OZV ve věci regulace hazardu. Na úrovni hl. m. Prahy je pak v současné době daná problematika upravena OZV č. 10/2013 Sb. hl. m. Prahy, kterou se stanoví místo a čas, na kterých lze provozovat loterie a jiné podobné hry, a kterou se stanoví opatření k omezení jejich propagace. Příloha této OZV pak stanoví i počet míst provozování loterií, vč. jejich času. Městská část Praha 10 se přitom může k provozování hazardu na svém území vyjádřit de facto pouze v rámci připomínkového řízení ke změně vyhlášky, ke kterému vyzve městské části Magistrát hl. m. Prahy, a to ve chvíli, kdy je taková změna z jeho strany chystána. Konečné rozhodnutí je pak opět v pravomoci Zastupitelstva hl. m. Prahy, tzn., že městská část hl. m. Prahy si takovouto změnu nemůže vynutit.  </w:t>
      </w:r>
    </w:p>
    <w:p w:rsidR="00160E77" w:rsidRPr="00936DF9" w:rsidRDefault="00160E77" w:rsidP="00160E77">
      <w:pPr>
        <w:pStyle w:val="Normlnweb"/>
        <w:spacing w:before="0" w:beforeAutospacing="0" w:after="0" w:afterAutospacing="0"/>
        <w:jc w:val="both"/>
        <w:rPr>
          <w:rFonts w:eastAsia="Tahoma"/>
          <w:u w:val="single"/>
          <w:lang w:eastAsia="ar-SA"/>
        </w:rPr>
      </w:pPr>
      <w:r>
        <w:rPr>
          <w:rFonts w:eastAsia="Tahoma"/>
          <w:lang w:eastAsia="ar-SA"/>
        </w:rPr>
        <w:t xml:space="preserve"> </w:t>
      </w: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 xml:space="preserve">S účinností od 1. 1. 2017 vstoupil v platnost nový zákon č. 186/2016 Sb., o hazardních hrách, v platném znění. Tímto zákonem je nově výkon dozoru nad hazardními hrami v kompetenci Celní správy a Ministerstva financí.  Obce mohou vykonávat dozor pouze formou tzv. „pasivního dozoru“ – je tím míněna činnost pracovníků obecního úřadu spočívající v předkládání podnětů celní správě v případech, kdy je shledáno porušování zákona o hazardních hrách.  Tzv. „pasivním dozorem“ provedeným referentkami odboru ekonomického ÚMČ Prahy 10 byla v dubnu 2017 zjištěna „černá herna“ a dále nepovolené </w:t>
      </w:r>
      <w:r>
        <w:rPr>
          <w:rFonts w:eastAsia="Tahoma"/>
          <w:lang w:eastAsia="ar-SA"/>
        </w:rPr>
        <w:lastRenderedPageBreak/>
        <w:t xml:space="preserve">videoloterijní terminály. Obě skutečnosti byly oznámeny Celnímu úřadu pro hl. m. Prahu a Ministerstvu financí ČR, státnímu dozoru nad sázkovými hrami a loteriemi. </w:t>
      </w: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 xml:space="preserve">Na základě tohoto oznámení učiněného ze strany ÚMČ Praha 10 bylo Celním úřadem pro hl. m. Prahu zadrženo celkem 17 ks technických herních zařízení a finanční hotovost ve výši 71 tis. Kč. </w:t>
      </w:r>
    </w:p>
    <w:p w:rsidR="00160E77" w:rsidRDefault="00160E77" w:rsidP="00160E77">
      <w:pPr>
        <w:pStyle w:val="Normlnweb"/>
        <w:spacing w:before="0" w:beforeAutospacing="0" w:after="0" w:afterAutospacing="0"/>
        <w:jc w:val="both"/>
        <w:rPr>
          <w:rFonts w:eastAsia="Tahoma"/>
          <w:lang w:eastAsia="ar-SA"/>
        </w:rPr>
      </w:pP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 xml:space="preserve">To, že je „pasivnímu dozoru“ věnována náležitá pozornost, dokazuje, že v měsíci červnu 2017 </w:t>
      </w: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byly v jeho rámci opět zjištěny nepovolené hazardní hry. Tato skutečnost byla sdělena Celnímu úřadu pro hl. m. Prahu a Ministerstvu financí. Na výsledek zjištění čekáme.</w:t>
      </w:r>
    </w:p>
    <w:p w:rsidR="00160E77" w:rsidRDefault="00160E77" w:rsidP="00160E77">
      <w:pPr>
        <w:pStyle w:val="Normlnweb"/>
        <w:spacing w:before="0" w:beforeAutospacing="0" w:after="0" w:afterAutospacing="0"/>
        <w:jc w:val="both"/>
        <w:rPr>
          <w:rFonts w:eastAsia="Tahoma"/>
          <w:lang w:eastAsia="ar-SA"/>
        </w:rPr>
      </w:pPr>
    </w:p>
    <w:p w:rsidR="00160E77" w:rsidRDefault="00160E77" w:rsidP="00160E77">
      <w:pPr>
        <w:pStyle w:val="Normlnweb"/>
        <w:spacing w:before="0" w:beforeAutospacing="0" w:after="0" w:afterAutospacing="0"/>
        <w:jc w:val="both"/>
        <w:rPr>
          <w:rFonts w:eastAsia="Tahoma"/>
          <w:lang w:eastAsia="ar-SA"/>
        </w:rPr>
      </w:pPr>
    </w:p>
    <w:p w:rsidR="00160E77" w:rsidRPr="006B261F" w:rsidRDefault="00160E77" w:rsidP="00160E77">
      <w:pPr>
        <w:pStyle w:val="Normlnweb"/>
        <w:numPr>
          <w:ilvl w:val="0"/>
          <w:numId w:val="10"/>
        </w:numPr>
        <w:spacing w:before="0" w:beforeAutospacing="0" w:after="0" w:afterAutospacing="0"/>
        <w:jc w:val="both"/>
        <w:rPr>
          <w:rFonts w:eastAsia="Tahoma"/>
          <w:b/>
          <w:u w:val="single"/>
          <w:lang w:eastAsia="ar-SA"/>
        </w:rPr>
      </w:pPr>
      <w:r w:rsidRPr="006B261F">
        <w:rPr>
          <w:rFonts w:eastAsia="Tahoma"/>
          <w:b/>
          <w:u w:val="single"/>
          <w:lang w:eastAsia="ar-SA"/>
        </w:rPr>
        <w:t>SOUČASNÝ STAV</w:t>
      </w: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 xml:space="preserve">K datu 1. 1. 2017 je tedy na území MČ Prahy 10 pouze 14 míst, kde mohou být v provozu hazardní hry. K uvedenému datu Úřad MČ Praha 10 nevydal žádné povolení provozu hazardních her. Loterie a jiné hazardní hry, které se v současnosti provozují, jsou povoleny Ministerstvem financí, do jehož kompetence městská část nemůže zasahovat. K datu 7. 7. 2017 je ministerstvem financí povoleno celkem 448 těchto her. </w:t>
      </w:r>
    </w:p>
    <w:p w:rsidR="00160E77" w:rsidRDefault="00160E77" w:rsidP="00160E77">
      <w:pPr>
        <w:pStyle w:val="Normlnweb"/>
        <w:spacing w:before="0" w:beforeAutospacing="0" w:after="0" w:afterAutospacing="0"/>
        <w:jc w:val="both"/>
        <w:rPr>
          <w:rFonts w:eastAsia="Tahoma"/>
          <w:lang w:eastAsia="ar-SA"/>
        </w:rPr>
      </w:pP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 xml:space="preserve">Od 1. ledna 2012 došlo k významné novele tehdy platného zákona č. 202/1990 Sb., o loteriích a jiných podobných hrách, dané nabytím účinnosti článků VII a VIII zákona č. 458/2011 Sb., o změně zákonů souvisejících se zřízením jednoho inkasního místa a dalších změnách daňových a pojistných zákonů. Nově byly stanoveny odvody z loterií zavedením nového systému odvodů, a to jednak pro výherní hrací přístroje a jiná technická herní zařízení a jednak pro ostatní druhy loterií a jiných podobných her. V souvislosti s touto zásadní legislativní změnou zákona o loteriích se inkasované podíly na odvodech z loterií a jiných podobných her finančními úřady převádějí obcím, na jejichž území jsou loterie a jiné podobné hry povoleny. </w:t>
      </w:r>
    </w:p>
    <w:p w:rsidR="00160E77" w:rsidRDefault="00160E77" w:rsidP="00160E77">
      <w:pPr>
        <w:pStyle w:val="Normlnweb"/>
        <w:spacing w:before="0" w:beforeAutospacing="0" w:after="0" w:afterAutospacing="0"/>
        <w:jc w:val="both"/>
        <w:rPr>
          <w:rFonts w:eastAsia="Tahoma"/>
          <w:lang w:eastAsia="ar-SA"/>
        </w:rPr>
      </w:pP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 xml:space="preserve">Odvody z loterií jsou poskytovány městským částem na základě usnesení Zastupitelstva hl. m. Prahy formou neinvestičních dotací. Od 1. 1. 2012 do 30. 6. 2015 byly tyto dotace přidělovány podle počtu provozovaných loterií na území městských částí, od 1. 7. 2015 jsou rozdělovány podle počtu obyvatel. Jsou určeny jednak na podporu činností nestátních neziskových organizací působících na území městských částí hl. m. Prahy, které zajišťují dlouhodobě organizovanou sportovní výchovu mládeže registrované v jednotlivých nestátních neziskových organizacích, jednak na sport a dále na kulturu, školství, zdravotnictví a sociální oblast.  </w:t>
      </w:r>
    </w:p>
    <w:p w:rsidR="00160E77" w:rsidRDefault="00160E77" w:rsidP="00160E77">
      <w:pPr>
        <w:pStyle w:val="Normlnweb"/>
        <w:spacing w:before="0" w:beforeAutospacing="0" w:after="0" w:afterAutospacing="0"/>
        <w:jc w:val="both"/>
        <w:rPr>
          <w:rFonts w:eastAsia="Tahoma"/>
          <w:lang w:eastAsia="ar-SA"/>
        </w:rPr>
      </w:pP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Příjmy z odvodů za loterie a jiné podobné hry:</w:t>
      </w: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528"/>
        <w:gridCol w:w="4528"/>
      </w:tblGrid>
      <w:tr w:rsidR="00160E77" w:rsidRPr="00E947E6" w:rsidTr="008E1124">
        <w:tc>
          <w:tcPr>
            <w:tcW w:w="2500" w:type="pct"/>
            <w:shd w:val="solid" w:color="000000" w:fill="FFFFFF"/>
          </w:tcPr>
          <w:p w:rsidR="00160E77" w:rsidRPr="00E947E6" w:rsidRDefault="00160E77" w:rsidP="008E1124">
            <w:pPr>
              <w:pStyle w:val="Normlnweb"/>
              <w:spacing w:before="0" w:beforeAutospacing="0" w:after="0" w:afterAutospacing="0"/>
              <w:jc w:val="center"/>
              <w:rPr>
                <w:rFonts w:eastAsia="Tahoma"/>
                <w:b/>
                <w:bCs/>
                <w:lang w:eastAsia="ar-SA"/>
              </w:rPr>
            </w:pPr>
            <w:r w:rsidRPr="00E947E6">
              <w:rPr>
                <w:rFonts w:eastAsia="Tahoma"/>
                <w:b/>
                <w:bCs/>
                <w:lang w:eastAsia="ar-SA"/>
              </w:rPr>
              <w:t>ROK</w:t>
            </w:r>
          </w:p>
        </w:tc>
        <w:tc>
          <w:tcPr>
            <w:tcW w:w="2500" w:type="pct"/>
            <w:shd w:val="solid" w:color="000000" w:fill="FFFFFF"/>
          </w:tcPr>
          <w:p w:rsidR="00160E77" w:rsidRPr="00E947E6" w:rsidRDefault="00160E77" w:rsidP="008E1124">
            <w:pPr>
              <w:pStyle w:val="Normlnweb"/>
              <w:spacing w:before="0" w:beforeAutospacing="0" w:after="0" w:afterAutospacing="0"/>
              <w:jc w:val="center"/>
              <w:rPr>
                <w:rFonts w:eastAsia="Tahoma"/>
                <w:b/>
                <w:bCs/>
                <w:lang w:eastAsia="ar-SA"/>
              </w:rPr>
            </w:pPr>
            <w:r w:rsidRPr="00E947E6">
              <w:rPr>
                <w:rFonts w:eastAsia="Tahoma"/>
                <w:b/>
                <w:bCs/>
                <w:lang w:eastAsia="ar-SA"/>
              </w:rPr>
              <w:t>PŘÍJEM v Kč</w:t>
            </w:r>
          </w:p>
        </w:tc>
      </w:tr>
      <w:tr w:rsidR="00160E77" w:rsidRPr="00E947E6" w:rsidTr="008E1124">
        <w:tc>
          <w:tcPr>
            <w:tcW w:w="2500" w:type="pct"/>
            <w:shd w:val="clear" w:color="auto" w:fill="auto"/>
          </w:tcPr>
          <w:p w:rsidR="00160E77" w:rsidRPr="00E947E6" w:rsidRDefault="00160E77" w:rsidP="008E1124">
            <w:pPr>
              <w:pStyle w:val="Normlnweb"/>
              <w:spacing w:before="0" w:beforeAutospacing="0" w:after="0" w:afterAutospacing="0"/>
              <w:jc w:val="center"/>
              <w:rPr>
                <w:rFonts w:eastAsia="Tahoma"/>
                <w:lang w:eastAsia="ar-SA"/>
              </w:rPr>
            </w:pPr>
            <w:r w:rsidRPr="00E947E6">
              <w:rPr>
                <w:rFonts w:eastAsia="Tahoma"/>
                <w:lang w:eastAsia="ar-SA"/>
              </w:rPr>
              <w:t>2012</w:t>
            </w:r>
          </w:p>
        </w:tc>
        <w:tc>
          <w:tcPr>
            <w:tcW w:w="2500" w:type="pct"/>
            <w:shd w:val="clear" w:color="auto" w:fill="auto"/>
          </w:tcPr>
          <w:p w:rsidR="00160E77" w:rsidRPr="00E947E6" w:rsidRDefault="00160E77" w:rsidP="008E1124">
            <w:pPr>
              <w:pStyle w:val="Normlnweb"/>
              <w:spacing w:before="0" w:beforeAutospacing="0" w:after="0" w:afterAutospacing="0"/>
              <w:jc w:val="center"/>
              <w:rPr>
                <w:rFonts w:eastAsia="Tahoma"/>
                <w:lang w:eastAsia="ar-SA"/>
              </w:rPr>
            </w:pPr>
            <w:r w:rsidRPr="00E947E6">
              <w:rPr>
                <w:rFonts w:eastAsia="Tahoma"/>
                <w:lang w:eastAsia="ar-SA"/>
              </w:rPr>
              <w:t>21 904 600,00</w:t>
            </w:r>
          </w:p>
        </w:tc>
      </w:tr>
      <w:tr w:rsidR="00160E77" w:rsidRPr="00E947E6" w:rsidTr="008E1124">
        <w:tc>
          <w:tcPr>
            <w:tcW w:w="2500" w:type="pct"/>
            <w:shd w:val="clear" w:color="auto" w:fill="auto"/>
          </w:tcPr>
          <w:p w:rsidR="00160E77" w:rsidRPr="00E947E6" w:rsidRDefault="00160E77" w:rsidP="008E1124">
            <w:pPr>
              <w:pStyle w:val="Normlnweb"/>
              <w:spacing w:before="0" w:beforeAutospacing="0" w:after="0" w:afterAutospacing="0"/>
              <w:jc w:val="center"/>
              <w:rPr>
                <w:rFonts w:eastAsia="Tahoma"/>
                <w:lang w:eastAsia="ar-SA"/>
              </w:rPr>
            </w:pPr>
            <w:r w:rsidRPr="00E947E6">
              <w:rPr>
                <w:rFonts w:eastAsia="Tahoma"/>
                <w:lang w:eastAsia="ar-SA"/>
              </w:rPr>
              <w:t>2013</w:t>
            </w:r>
          </w:p>
        </w:tc>
        <w:tc>
          <w:tcPr>
            <w:tcW w:w="2500" w:type="pct"/>
            <w:shd w:val="clear" w:color="auto" w:fill="auto"/>
          </w:tcPr>
          <w:p w:rsidR="00160E77" w:rsidRPr="00E947E6" w:rsidRDefault="00160E77" w:rsidP="008E1124">
            <w:pPr>
              <w:pStyle w:val="Normlnweb"/>
              <w:spacing w:before="0" w:beforeAutospacing="0" w:after="0" w:afterAutospacing="0"/>
              <w:jc w:val="center"/>
              <w:rPr>
                <w:rFonts w:eastAsia="Tahoma"/>
                <w:lang w:eastAsia="ar-SA"/>
              </w:rPr>
            </w:pPr>
            <w:r w:rsidRPr="00E947E6">
              <w:rPr>
                <w:rFonts w:eastAsia="Tahoma"/>
                <w:lang w:eastAsia="ar-SA"/>
              </w:rPr>
              <w:t>23 690 800,00</w:t>
            </w:r>
          </w:p>
        </w:tc>
      </w:tr>
      <w:tr w:rsidR="00160E77" w:rsidRPr="00E947E6" w:rsidTr="008E1124">
        <w:tc>
          <w:tcPr>
            <w:tcW w:w="2500" w:type="pct"/>
            <w:shd w:val="clear" w:color="auto" w:fill="auto"/>
          </w:tcPr>
          <w:p w:rsidR="00160E77" w:rsidRPr="00E947E6" w:rsidRDefault="00160E77" w:rsidP="008E1124">
            <w:pPr>
              <w:pStyle w:val="Normlnweb"/>
              <w:spacing w:before="0" w:beforeAutospacing="0" w:after="0" w:afterAutospacing="0"/>
              <w:jc w:val="center"/>
              <w:rPr>
                <w:rFonts w:eastAsia="Tahoma"/>
                <w:lang w:eastAsia="ar-SA"/>
              </w:rPr>
            </w:pPr>
            <w:r w:rsidRPr="00E947E6">
              <w:rPr>
                <w:rFonts w:eastAsia="Tahoma"/>
                <w:lang w:eastAsia="ar-SA"/>
              </w:rPr>
              <w:t>2014</w:t>
            </w:r>
          </w:p>
        </w:tc>
        <w:tc>
          <w:tcPr>
            <w:tcW w:w="2500" w:type="pct"/>
            <w:shd w:val="clear" w:color="auto" w:fill="auto"/>
          </w:tcPr>
          <w:p w:rsidR="00160E77" w:rsidRPr="00E947E6" w:rsidRDefault="00160E77" w:rsidP="008E1124">
            <w:pPr>
              <w:pStyle w:val="Normlnweb"/>
              <w:spacing w:before="0" w:beforeAutospacing="0" w:after="0" w:afterAutospacing="0"/>
              <w:jc w:val="center"/>
              <w:rPr>
                <w:rFonts w:eastAsia="Tahoma"/>
                <w:lang w:eastAsia="ar-SA"/>
              </w:rPr>
            </w:pPr>
            <w:r w:rsidRPr="00E947E6">
              <w:rPr>
                <w:rFonts w:eastAsia="Tahoma"/>
                <w:lang w:eastAsia="ar-SA"/>
              </w:rPr>
              <w:t>24 767 321,00</w:t>
            </w:r>
          </w:p>
        </w:tc>
      </w:tr>
      <w:tr w:rsidR="00160E77" w:rsidRPr="00E947E6" w:rsidTr="008E1124">
        <w:tc>
          <w:tcPr>
            <w:tcW w:w="2500" w:type="pct"/>
            <w:shd w:val="clear" w:color="auto" w:fill="auto"/>
          </w:tcPr>
          <w:p w:rsidR="00160E77" w:rsidRPr="00E947E6" w:rsidRDefault="00160E77" w:rsidP="008E1124">
            <w:pPr>
              <w:pStyle w:val="Normlnweb"/>
              <w:spacing w:before="0" w:beforeAutospacing="0" w:after="0" w:afterAutospacing="0"/>
              <w:jc w:val="center"/>
              <w:rPr>
                <w:rFonts w:eastAsia="Tahoma"/>
                <w:lang w:eastAsia="ar-SA"/>
              </w:rPr>
            </w:pPr>
            <w:r w:rsidRPr="00E947E6">
              <w:rPr>
                <w:rFonts w:eastAsia="Tahoma"/>
                <w:lang w:eastAsia="ar-SA"/>
              </w:rPr>
              <w:t>2015</w:t>
            </w:r>
          </w:p>
        </w:tc>
        <w:tc>
          <w:tcPr>
            <w:tcW w:w="2500" w:type="pct"/>
            <w:shd w:val="clear" w:color="auto" w:fill="auto"/>
          </w:tcPr>
          <w:p w:rsidR="00160E77" w:rsidRPr="00E947E6" w:rsidRDefault="00160E77" w:rsidP="008E1124">
            <w:pPr>
              <w:pStyle w:val="Normlnweb"/>
              <w:spacing w:before="0" w:beforeAutospacing="0" w:after="0" w:afterAutospacing="0"/>
              <w:jc w:val="center"/>
              <w:rPr>
                <w:rFonts w:eastAsia="Tahoma"/>
                <w:lang w:eastAsia="ar-SA"/>
              </w:rPr>
            </w:pPr>
            <w:r w:rsidRPr="00E947E6">
              <w:rPr>
                <w:rFonts w:eastAsia="Tahoma"/>
                <w:lang w:eastAsia="ar-SA"/>
              </w:rPr>
              <w:t>40 946 000,00</w:t>
            </w:r>
          </w:p>
        </w:tc>
      </w:tr>
      <w:tr w:rsidR="00160E77" w:rsidRPr="00E947E6" w:rsidTr="008E1124">
        <w:tc>
          <w:tcPr>
            <w:tcW w:w="2500" w:type="pct"/>
            <w:shd w:val="clear" w:color="auto" w:fill="auto"/>
          </w:tcPr>
          <w:p w:rsidR="00160E77" w:rsidRPr="00E947E6" w:rsidRDefault="00160E77" w:rsidP="008E1124">
            <w:pPr>
              <w:pStyle w:val="Normlnweb"/>
              <w:spacing w:before="0" w:beforeAutospacing="0" w:after="0" w:afterAutospacing="0"/>
              <w:jc w:val="center"/>
              <w:rPr>
                <w:rFonts w:eastAsia="Tahoma"/>
                <w:lang w:eastAsia="ar-SA"/>
              </w:rPr>
            </w:pPr>
            <w:r w:rsidRPr="00E947E6">
              <w:rPr>
                <w:rFonts w:eastAsia="Tahoma"/>
                <w:lang w:eastAsia="ar-SA"/>
              </w:rPr>
              <w:t>2016</w:t>
            </w:r>
          </w:p>
        </w:tc>
        <w:tc>
          <w:tcPr>
            <w:tcW w:w="2500" w:type="pct"/>
            <w:shd w:val="clear" w:color="auto" w:fill="auto"/>
          </w:tcPr>
          <w:p w:rsidR="00160E77" w:rsidRPr="00E947E6" w:rsidRDefault="00160E77" w:rsidP="008E1124">
            <w:pPr>
              <w:pStyle w:val="Normlnweb"/>
              <w:spacing w:before="0" w:beforeAutospacing="0" w:after="0" w:afterAutospacing="0"/>
              <w:jc w:val="center"/>
              <w:rPr>
                <w:rFonts w:eastAsia="Tahoma"/>
                <w:lang w:eastAsia="ar-SA"/>
              </w:rPr>
            </w:pPr>
            <w:r w:rsidRPr="00E947E6">
              <w:rPr>
                <w:rFonts w:eastAsia="Tahoma"/>
                <w:lang w:eastAsia="ar-SA"/>
              </w:rPr>
              <w:t>25 969 000,00</w:t>
            </w:r>
          </w:p>
        </w:tc>
      </w:tr>
      <w:tr w:rsidR="00160E77" w:rsidRPr="00E947E6" w:rsidTr="008E1124">
        <w:tc>
          <w:tcPr>
            <w:tcW w:w="2500" w:type="pct"/>
            <w:shd w:val="clear" w:color="auto" w:fill="auto"/>
          </w:tcPr>
          <w:p w:rsidR="00160E77" w:rsidRPr="00E947E6" w:rsidRDefault="00160E77" w:rsidP="008E1124">
            <w:pPr>
              <w:pStyle w:val="Normlnweb"/>
              <w:spacing w:before="0" w:beforeAutospacing="0" w:after="0" w:afterAutospacing="0"/>
              <w:jc w:val="center"/>
              <w:rPr>
                <w:rFonts w:eastAsia="Tahoma"/>
                <w:lang w:eastAsia="ar-SA"/>
              </w:rPr>
            </w:pPr>
            <w:r w:rsidRPr="00E947E6">
              <w:rPr>
                <w:rFonts w:eastAsia="Tahoma"/>
                <w:lang w:eastAsia="ar-SA"/>
              </w:rPr>
              <w:t>2017 k 30. 4. 2017</w:t>
            </w:r>
          </w:p>
        </w:tc>
        <w:tc>
          <w:tcPr>
            <w:tcW w:w="2500" w:type="pct"/>
            <w:shd w:val="clear" w:color="auto" w:fill="auto"/>
          </w:tcPr>
          <w:p w:rsidR="00160E77" w:rsidRPr="00E947E6" w:rsidRDefault="00160E77" w:rsidP="008E1124">
            <w:pPr>
              <w:pStyle w:val="Normlnweb"/>
              <w:spacing w:before="0" w:beforeAutospacing="0" w:after="0" w:afterAutospacing="0"/>
              <w:jc w:val="center"/>
              <w:rPr>
                <w:rFonts w:eastAsia="Tahoma"/>
                <w:lang w:eastAsia="ar-SA"/>
              </w:rPr>
            </w:pPr>
            <w:r w:rsidRPr="00E947E6">
              <w:rPr>
                <w:rFonts w:eastAsia="Tahoma"/>
                <w:lang w:eastAsia="ar-SA"/>
              </w:rPr>
              <w:t>7 622 000,00</w:t>
            </w:r>
          </w:p>
        </w:tc>
      </w:tr>
    </w:tbl>
    <w:p w:rsidR="00160E77" w:rsidRDefault="00160E77" w:rsidP="00160E77">
      <w:pPr>
        <w:pStyle w:val="Normlnweb"/>
        <w:spacing w:before="0" w:beforeAutospacing="0" w:after="0" w:afterAutospacing="0"/>
        <w:jc w:val="both"/>
        <w:rPr>
          <w:rFonts w:eastAsia="Tahoma"/>
          <w:lang w:eastAsia="ar-SA"/>
        </w:rPr>
      </w:pPr>
    </w:p>
    <w:p w:rsidR="00160E77" w:rsidRDefault="00160E77" w:rsidP="00D046EB">
      <w:pPr>
        <w:pStyle w:val="Normlnweb"/>
        <w:spacing w:before="0" w:beforeAutospacing="0" w:after="0" w:afterAutospacing="0"/>
        <w:jc w:val="both"/>
        <w:rPr>
          <w:rFonts w:eastAsia="Tahoma"/>
          <w:lang w:eastAsia="ar-SA"/>
        </w:rPr>
      </w:pPr>
    </w:p>
    <w:p w:rsidR="00D046EB" w:rsidRDefault="00D046EB" w:rsidP="00D046EB">
      <w:pPr>
        <w:pStyle w:val="Normlnweb"/>
        <w:spacing w:before="0" w:beforeAutospacing="0" w:after="0" w:afterAutospacing="0"/>
        <w:ind w:left="360"/>
        <w:jc w:val="both"/>
        <w:rPr>
          <w:rFonts w:eastAsia="Tahoma"/>
          <w:b/>
          <w:u w:val="single"/>
          <w:lang w:eastAsia="ar-SA"/>
        </w:rPr>
      </w:pPr>
    </w:p>
    <w:p w:rsidR="00D046EB" w:rsidRDefault="00D046EB" w:rsidP="00D046EB">
      <w:pPr>
        <w:pStyle w:val="Normlnweb"/>
        <w:spacing w:before="0" w:beforeAutospacing="0" w:after="0" w:afterAutospacing="0"/>
        <w:ind w:left="360"/>
        <w:jc w:val="both"/>
        <w:rPr>
          <w:rFonts w:eastAsia="Tahoma"/>
          <w:b/>
          <w:u w:val="single"/>
          <w:lang w:eastAsia="ar-SA"/>
        </w:rPr>
      </w:pPr>
    </w:p>
    <w:p w:rsidR="00D046EB" w:rsidRDefault="00D046EB" w:rsidP="00D046EB">
      <w:pPr>
        <w:pStyle w:val="Normlnweb"/>
        <w:spacing w:before="0" w:beforeAutospacing="0" w:after="0" w:afterAutospacing="0"/>
        <w:ind w:left="360"/>
        <w:jc w:val="both"/>
        <w:rPr>
          <w:rFonts w:eastAsia="Tahoma"/>
          <w:b/>
          <w:u w:val="single"/>
          <w:lang w:eastAsia="ar-SA"/>
        </w:rPr>
      </w:pPr>
    </w:p>
    <w:p w:rsidR="00D046EB" w:rsidRDefault="00D046EB" w:rsidP="00D046EB">
      <w:pPr>
        <w:pStyle w:val="Normlnweb"/>
        <w:spacing w:before="0" w:beforeAutospacing="0" w:after="0" w:afterAutospacing="0"/>
        <w:ind w:left="360"/>
        <w:jc w:val="both"/>
        <w:rPr>
          <w:rFonts w:eastAsia="Tahoma"/>
          <w:b/>
          <w:u w:val="single"/>
          <w:lang w:eastAsia="ar-SA"/>
        </w:rPr>
      </w:pPr>
    </w:p>
    <w:p w:rsidR="00160E77" w:rsidRPr="006B261F" w:rsidRDefault="00160E77" w:rsidP="00160E77">
      <w:pPr>
        <w:pStyle w:val="Normlnweb"/>
        <w:numPr>
          <w:ilvl w:val="0"/>
          <w:numId w:val="10"/>
        </w:numPr>
        <w:spacing w:before="0" w:beforeAutospacing="0" w:after="0" w:afterAutospacing="0"/>
        <w:ind w:left="709" w:hanging="349"/>
        <w:jc w:val="both"/>
        <w:rPr>
          <w:rFonts w:eastAsia="Tahoma"/>
          <w:b/>
          <w:u w:val="single"/>
          <w:lang w:eastAsia="ar-SA"/>
        </w:rPr>
      </w:pPr>
      <w:r w:rsidRPr="006B261F">
        <w:rPr>
          <w:rFonts w:eastAsia="Tahoma"/>
          <w:b/>
          <w:u w:val="single"/>
          <w:lang w:eastAsia="ar-SA"/>
        </w:rPr>
        <w:t>S</w:t>
      </w:r>
      <w:r w:rsidR="00D046EB">
        <w:rPr>
          <w:rFonts w:eastAsia="Tahoma"/>
          <w:b/>
          <w:u w:val="single"/>
          <w:lang w:eastAsia="ar-SA"/>
        </w:rPr>
        <w:t>O</w:t>
      </w:r>
      <w:r w:rsidRPr="006B261F">
        <w:rPr>
          <w:rFonts w:eastAsia="Tahoma"/>
          <w:b/>
          <w:u w:val="single"/>
          <w:lang w:eastAsia="ar-SA"/>
        </w:rPr>
        <w:t>UČASNÝ A NAVRHOVANÝ DALŚÍ POSTUP M. Č. PRAHA NA ÚSEKU REGULACE HAZARDU</w:t>
      </w:r>
    </w:p>
    <w:p w:rsidR="00160E77" w:rsidRDefault="00160E77" w:rsidP="00160E77">
      <w:pPr>
        <w:pStyle w:val="Normlnweb"/>
        <w:jc w:val="both"/>
        <w:rPr>
          <w:rFonts w:eastAsia="Tahoma"/>
          <w:lang w:eastAsia="ar-SA"/>
        </w:rPr>
      </w:pPr>
      <w:r>
        <w:rPr>
          <w:rFonts w:eastAsia="Tahoma"/>
          <w:lang w:eastAsia="ar-SA"/>
        </w:rPr>
        <w:t>Otázku regulace hazardu na území m. č. Praha 10 považuje m. č. Praha 10 za zásadní. Nicméně, zde je nutné si uvědomit skutečnost, že</w:t>
      </w:r>
      <w:r w:rsidRPr="001B4E4E">
        <w:rPr>
          <w:rFonts w:eastAsia="Tahoma"/>
          <w:lang w:eastAsia="ar-SA"/>
        </w:rPr>
        <w:t xml:space="preserve"> jediným orgánem, který na základě ustanovení § 44 odst. 3 písm. a) a d) zákona č. 131/2000 Sb., o hlavním městě Praze, v platném znění, ve spojení s ustanovením § </w:t>
      </w:r>
      <w:r>
        <w:rPr>
          <w:rFonts w:eastAsia="Tahoma"/>
          <w:lang w:eastAsia="ar-SA"/>
        </w:rPr>
        <w:t>12</w:t>
      </w:r>
      <w:r w:rsidRPr="001B4E4E">
        <w:rPr>
          <w:rFonts w:eastAsia="Tahoma"/>
          <w:lang w:eastAsia="ar-SA"/>
        </w:rPr>
        <w:t xml:space="preserve"> odst. </w:t>
      </w:r>
      <w:r>
        <w:rPr>
          <w:rFonts w:eastAsia="Tahoma"/>
          <w:lang w:eastAsia="ar-SA"/>
        </w:rPr>
        <w:t>1</w:t>
      </w:r>
      <w:r w:rsidRPr="001B4E4E">
        <w:rPr>
          <w:rFonts w:eastAsia="Tahoma"/>
          <w:lang w:eastAsia="ar-SA"/>
        </w:rPr>
        <w:t xml:space="preserve"> zákona č. </w:t>
      </w:r>
      <w:r>
        <w:rPr>
          <w:rFonts w:eastAsia="Tahoma"/>
          <w:lang w:eastAsia="ar-SA"/>
        </w:rPr>
        <w:t>186/2016 Sb</w:t>
      </w:r>
      <w:r w:rsidRPr="001B4E4E">
        <w:rPr>
          <w:rFonts w:eastAsia="Tahoma"/>
          <w:lang w:eastAsia="ar-SA"/>
        </w:rPr>
        <w:t xml:space="preserve">., o </w:t>
      </w:r>
      <w:r>
        <w:rPr>
          <w:rFonts w:eastAsia="Tahoma"/>
          <w:lang w:eastAsia="ar-SA"/>
        </w:rPr>
        <w:t>hazardních</w:t>
      </w:r>
      <w:r w:rsidRPr="001B4E4E">
        <w:rPr>
          <w:rFonts w:eastAsia="Tahoma"/>
          <w:lang w:eastAsia="ar-SA"/>
        </w:rPr>
        <w:t xml:space="preserve"> hrách, v rámci celého území hl. m. Prahy (včetně území m. č. Praha 10) řeší problematiku hazardních her a může v této věci jako jedin</w:t>
      </w:r>
      <w:r>
        <w:rPr>
          <w:rFonts w:eastAsia="Tahoma"/>
          <w:lang w:eastAsia="ar-SA"/>
        </w:rPr>
        <w:t>ý</w:t>
      </w:r>
      <w:r w:rsidRPr="001B4E4E">
        <w:rPr>
          <w:rFonts w:eastAsia="Tahoma"/>
          <w:lang w:eastAsia="ar-SA"/>
        </w:rPr>
        <w:t xml:space="preserve"> rozhodovat, je Zastupitelstvo hl. m. Prahy. Městské části mohou v připomínkovém řízení, a to na základě výzvy MHMP, pouze navrhovat změny.</w:t>
      </w:r>
      <w:r>
        <w:rPr>
          <w:rFonts w:eastAsia="Tahoma"/>
          <w:lang w:eastAsia="ar-SA"/>
        </w:rPr>
        <w:t xml:space="preserve">  Z toho důvodu se m. č. Praha 10 na přelomu května a června roku 2017 obrátila na příslušný odbor daní, poplatků a cen Magistrátu hl. m. Prahy s dotazem, zda bude vyhlášeno připomínkové řízení k OZV (příloha č. 1 tohoto materiálu). Cílem této vyvinuté iniciativy bylo vyvolat proces novelizace předmětné OZV tak, aby její nové znění více reflektovalo zájem m. č. Praha 10 o optimalizaci současného stavu hazardu na území m. č. Praha 10.  Dne 5. 6. 2017 odpověděla JUDr. S. Thuriová, ředitelka odboru daní, poplatků a cen, že v současné době nedisponuje informací směřující k vyhlášení uvedeného připomínkového řízení (příloha č. 2 tohoto materiálu). Opakovaný dotaz byl adresován dne 14. 6. 2017 primátorce hl. m. Prahy (příloha č. 3 tohoto materiálu). Vypracování odpovědi na opakovaný dotaz paní primátorka postoupila na odbor daní, poplatků a cen a z toho důvodu obdržela m. č. Praha 10 odpověď opět od ředitelky odboru daní, poplatků a cen JUDr. S. Thuriové (příloha č. 4 tohoto materiálu). Tato odpověď z Magistrátu hl. m. Prahy, ve které je opakovaně sděleno, že nejsou informace o tom, že by v nejbližší době mělo dojít k vyhlášení připomínkového řízení, se tedy nese ve stejném duchu jako odpověď předchozí a z tohoto pohledu na ní lze hledět jako na odpověď neznamenající žádný posun ve věci.</w:t>
      </w:r>
    </w:p>
    <w:p w:rsidR="00160E77" w:rsidRDefault="00160E77" w:rsidP="00160E77">
      <w:pPr>
        <w:pStyle w:val="Normlnweb"/>
        <w:spacing w:before="0" w:beforeAutospacing="0" w:after="0" w:afterAutospacing="0"/>
        <w:jc w:val="both"/>
        <w:rPr>
          <w:rFonts w:eastAsia="Tahoma"/>
          <w:lang w:eastAsia="ar-SA"/>
        </w:rPr>
      </w:pPr>
    </w:p>
    <w:p w:rsidR="00160E77" w:rsidRDefault="00160E77" w:rsidP="00160E77">
      <w:pPr>
        <w:pStyle w:val="Normlnweb"/>
        <w:spacing w:before="0" w:beforeAutospacing="0" w:after="0" w:afterAutospacing="0"/>
        <w:jc w:val="both"/>
        <w:rPr>
          <w:rFonts w:eastAsia="Tahoma"/>
          <w:lang w:eastAsia="ar-SA"/>
        </w:rPr>
      </w:pPr>
      <w:r>
        <w:rPr>
          <w:rFonts w:eastAsia="Tahoma"/>
          <w:lang w:eastAsia="ar-SA"/>
        </w:rPr>
        <w:t xml:space="preserve">Jelikož výše popsaná iniciativa m. č. Praha 10 spočívající v dotazování Magistrátu hl. m. Prahy prozatím nevedla k žádoucímu výsledku spočívajícím v zahájení procesu novelizace OZV (nebo alespoň sdělení termínu jeho zahájení), je tímto materiálem RMČ a následně ZMČ předkládán návrh, aby ZMČ jakožto nejvyšší orgán samosprávy prostřednictvím RMČ písemně oslovil samotné Zastupitelstvo hl. m. Prahy (jako nejvyšší orgán hl. m. Prahy) výzvou k zahájení procesu novelizace OZV. Cílem této výzvy je maximální možná snaha o vyvolání procesu přijetí novely OZV, jejíž součástí je i následné otevření veřejné diskuze například též formou veřejných slyšení s občany m. č. Praha 10 tak, aby m. č. Praha 10 v rámci případného připomínkového řízení mohla předložit aktuální připomínky, které by co nejvíce reflektovaly veřejný zájem m. č. Praha 10 a jejich občanů na regulaci hazardu na území m. č. Praha 10. </w:t>
      </w:r>
    </w:p>
    <w:p w:rsidR="00160E77" w:rsidRDefault="00160E77" w:rsidP="00160E77">
      <w:pPr>
        <w:jc w:val="right"/>
        <w:rPr>
          <w:sz w:val="24"/>
          <w:szCs w:val="24"/>
        </w:rPr>
      </w:pPr>
    </w:p>
    <w:p w:rsidR="00160E77" w:rsidRDefault="00160E77" w:rsidP="00160E77">
      <w:pPr>
        <w:jc w:val="right"/>
        <w:rPr>
          <w:sz w:val="24"/>
          <w:szCs w:val="24"/>
        </w:rPr>
      </w:pPr>
    </w:p>
    <w:p w:rsidR="00160E77" w:rsidRDefault="00160E77" w:rsidP="00160E77">
      <w:pPr>
        <w:jc w:val="right"/>
        <w:rPr>
          <w:sz w:val="24"/>
          <w:szCs w:val="24"/>
        </w:rPr>
      </w:pPr>
    </w:p>
    <w:p w:rsidR="00160E77" w:rsidRDefault="00160E77" w:rsidP="00160E77">
      <w:pPr>
        <w:jc w:val="right"/>
        <w:rPr>
          <w:sz w:val="24"/>
          <w:szCs w:val="24"/>
        </w:rPr>
      </w:pPr>
    </w:p>
    <w:p w:rsidR="00160E77" w:rsidRDefault="00160E77" w:rsidP="00160E77">
      <w:pPr>
        <w:jc w:val="right"/>
        <w:rPr>
          <w:sz w:val="24"/>
          <w:szCs w:val="24"/>
        </w:rPr>
      </w:pPr>
    </w:p>
    <w:p w:rsidR="00160E77" w:rsidRDefault="00160E77" w:rsidP="00160E77">
      <w:pPr>
        <w:jc w:val="right"/>
        <w:rPr>
          <w:sz w:val="24"/>
          <w:szCs w:val="24"/>
        </w:rPr>
      </w:pPr>
    </w:p>
    <w:p w:rsidR="00160E77" w:rsidRDefault="00160E77" w:rsidP="00160E77">
      <w:pPr>
        <w:jc w:val="right"/>
        <w:rPr>
          <w:sz w:val="24"/>
          <w:szCs w:val="24"/>
        </w:rPr>
      </w:pPr>
    </w:p>
    <w:p w:rsidR="00160E77" w:rsidRDefault="00160E77" w:rsidP="00160E77">
      <w:pPr>
        <w:jc w:val="right"/>
        <w:rPr>
          <w:sz w:val="24"/>
          <w:szCs w:val="24"/>
        </w:rPr>
      </w:pPr>
    </w:p>
    <w:p w:rsidR="00160E77" w:rsidRDefault="00160E77" w:rsidP="00160E77">
      <w:pPr>
        <w:jc w:val="right"/>
        <w:rPr>
          <w:sz w:val="24"/>
          <w:szCs w:val="24"/>
        </w:rPr>
      </w:pPr>
    </w:p>
    <w:p w:rsidR="00160E77" w:rsidRDefault="00160E77" w:rsidP="00160E77">
      <w:pPr>
        <w:jc w:val="right"/>
        <w:rPr>
          <w:sz w:val="24"/>
          <w:szCs w:val="24"/>
        </w:rPr>
      </w:pPr>
    </w:p>
    <w:p w:rsidR="00842832" w:rsidRDefault="00842832" w:rsidP="00EF503B">
      <w:pPr>
        <w:overflowPunct/>
        <w:autoSpaceDE/>
        <w:autoSpaceDN/>
        <w:adjustRightInd/>
        <w:jc w:val="center"/>
        <w:textAlignment w:val="auto"/>
        <w:rPr>
          <w:sz w:val="32"/>
          <w:szCs w:val="24"/>
        </w:rPr>
      </w:pPr>
    </w:p>
    <w:sectPr w:rsidR="00842832" w:rsidSect="00566419">
      <w:headerReference w:type="default" r:id="rId7"/>
      <w:footerReference w:type="even" r:id="rId8"/>
      <w:footerReference w:type="default" r:id="rId9"/>
      <w:pgSz w:w="11906" w:h="16838"/>
      <w:pgMar w:top="1417" w:right="1417" w:bottom="1417" w:left="1417" w:header="708" w:footer="708"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97C" w:rsidRDefault="0086197C">
      <w:r>
        <w:separator/>
      </w:r>
    </w:p>
  </w:endnote>
  <w:endnote w:type="continuationSeparator" w:id="0">
    <w:p w:rsidR="0086197C" w:rsidRDefault="0086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03B" w:rsidRDefault="00EF503B" w:rsidP="004A1B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F503B" w:rsidRDefault="00EF503B" w:rsidP="00F1176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716821"/>
      <w:docPartObj>
        <w:docPartGallery w:val="Page Numbers (Bottom of Page)"/>
        <w:docPartUnique/>
      </w:docPartObj>
    </w:sdtPr>
    <w:sdtEndPr/>
    <w:sdtContent>
      <w:p w:rsidR="00566419" w:rsidRDefault="00566419">
        <w:pPr>
          <w:pStyle w:val="Zpat"/>
        </w:pPr>
        <w:r>
          <w:t xml:space="preserve">                                                                               </w:t>
        </w:r>
        <w:r>
          <w:fldChar w:fldCharType="begin"/>
        </w:r>
        <w:r>
          <w:instrText>PAGE   \* MERGEFORMAT</w:instrText>
        </w:r>
        <w:r>
          <w:fldChar w:fldCharType="separate"/>
        </w:r>
        <w:r w:rsidR="00FC5977">
          <w:rPr>
            <w:noProof/>
          </w:rPr>
          <w:t>1</w:t>
        </w:r>
        <w:r>
          <w:fldChar w:fldCharType="end"/>
        </w:r>
      </w:p>
    </w:sdtContent>
  </w:sdt>
  <w:p w:rsidR="00EF503B" w:rsidRDefault="00EF503B" w:rsidP="00F11765">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97C" w:rsidRDefault="0086197C">
      <w:r>
        <w:separator/>
      </w:r>
    </w:p>
  </w:footnote>
  <w:footnote w:type="continuationSeparator" w:id="0">
    <w:p w:rsidR="0086197C" w:rsidRDefault="0086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FA4" w:rsidRPr="00F15FA4" w:rsidRDefault="00F15FA4">
    <w:pPr>
      <w:pStyle w:val="Zhlav"/>
      <w:rPr>
        <w:sz w:val="22"/>
        <w:szCs w:val="22"/>
      </w:rPr>
    </w:pPr>
    <w:r>
      <w:rPr>
        <w:sz w:val="22"/>
        <w:szCs w:val="22"/>
      </w:rPr>
      <w:t xml:space="preserve">                                                                                                                                        </w:t>
    </w:r>
    <w:r w:rsidRPr="00F15FA4">
      <w:rPr>
        <w:sz w:val="22"/>
        <w:szCs w:val="22"/>
      </w:rPr>
      <w:t>P10-078974/2017</w:t>
    </w:r>
  </w:p>
  <w:p w:rsidR="00EF503B" w:rsidRDefault="00EF503B" w:rsidP="00F65CFE">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B57CD"/>
    <w:multiLevelType w:val="hybridMultilevel"/>
    <w:tmpl w:val="30D6D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271E74"/>
    <w:multiLevelType w:val="hybridMultilevel"/>
    <w:tmpl w:val="F6A83D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AB7E90"/>
    <w:multiLevelType w:val="singleLevel"/>
    <w:tmpl w:val="7A4E7B68"/>
    <w:lvl w:ilvl="0">
      <w:start w:val="1"/>
      <w:numFmt w:val="decimal"/>
      <w:lvlText w:val="1.%1. "/>
      <w:legacy w:legacy="1" w:legacySpace="0" w:legacyIndent="283"/>
      <w:lvlJc w:val="left"/>
      <w:pPr>
        <w:ind w:left="1134" w:hanging="283"/>
      </w:pPr>
      <w:rPr>
        <w:b w:val="0"/>
        <w:i w:val="0"/>
        <w:sz w:val="24"/>
      </w:rPr>
    </w:lvl>
  </w:abstractNum>
  <w:abstractNum w:abstractNumId="3" w15:restartNumberingAfterBreak="0">
    <w:nsid w:val="2F73036D"/>
    <w:multiLevelType w:val="hybridMultilevel"/>
    <w:tmpl w:val="0E229E7A"/>
    <w:lvl w:ilvl="0" w:tplc="A2A2CCCA">
      <w:start w:val="1"/>
      <w:numFmt w:val="bullet"/>
      <w:lvlText w:val="-"/>
      <w:lvlJc w:val="left"/>
      <w:pPr>
        <w:ind w:left="720" w:hanging="360"/>
      </w:pPr>
      <w:rPr>
        <w:rFonts w:ascii="Times New Roman" w:eastAsia="Tahom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A95429"/>
    <w:multiLevelType w:val="hybridMultilevel"/>
    <w:tmpl w:val="872056BC"/>
    <w:lvl w:ilvl="0" w:tplc="DE54CBB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626101"/>
    <w:multiLevelType w:val="hybridMultilevel"/>
    <w:tmpl w:val="51B86B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6B11731"/>
    <w:multiLevelType w:val="hybridMultilevel"/>
    <w:tmpl w:val="CD4A2A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937039"/>
    <w:multiLevelType w:val="singleLevel"/>
    <w:tmpl w:val="10747AC4"/>
    <w:lvl w:ilvl="0">
      <w:start w:val="2"/>
      <w:numFmt w:val="decimal"/>
      <w:lvlText w:val="1.%1. "/>
      <w:legacy w:legacy="1" w:legacySpace="0" w:legacyIndent="283"/>
      <w:lvlJc w:val="left"/>
      <w:pPr>
        <w:ind w:left="1134" w:hanging="283"/>
      </w:pPr>
      <w:rPr>
        <w:b w:val="0"/>
        <w:i w:val="0"/>
        <w:sz w:val="24"/>
      </w:rPr>
    </w:lvl>
  </w:abstractNum>
  <w:abstractNum w:abstractNumId="8" w15:restartNumberingAfterBreak="0">
    <w:nsid w:val="5C0B68DF"/>
    <w:multiLevelType w:val="hybridMultilevel"/>
    <w:tmpl w:val="106C5A74"/>
    <w:lvl w:ilvl="0" w:tplc="264446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0A3323"/>
    <w:multiLevelType w:val="multilevel"/>
    <w:tmpl w:val="5E8CAC00"/>
    <w:lvl w:ilvl="0">
      <w:start w:val="1"/>
      <w:numFmt w:val="decimal"/>
      <w:lvlText w:val="%1."/>
      <w:lvlJc w:val="left"/>
      <w:pPr>
        <w:ind w:left="1065"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001" w:hanging="720"/>
      </w:pPr>
      <w:rPr>
        <w:rFonts w:hint="default"/>
      </w:rPr>
    </w:lvl>
    <w:lvl w:ilvl="3">
      <w:start w:val="1"/>
      <w:numFmt w:val="decimal"/>
      <w:isLgl/>
      <w:lvlText w:val="%1.%2.%3.%4."/>
      <w:lvlJc w:val="left"/>
      <w:pPr>
        <w:ind w:left="2289" w:hanging="720"/>
      </w:pPr>
      <w:rPr>
        <w:rFonts w:hint="default"/>
      </w:rPr>
    </w:lvl>
    <w:lvl w:ilvl="4">
      <w:start w:val="1"/>
      <w:numFmt w:val="decimal"/>
      <w:isLgl/>
      <w:lvlText w:val="%1.%2.%3.%4.%5."/>
      <w:lvlJc w:val="left"/>
      <w:pPr>
        <w:ind w:left="2937"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3873" w:hanging="1440"/>
      </w:pPr>
      <w:rPr>
        <w:rFonts w:hint="default"/>
      </w:rPr>
    </w:lvl>
    <w:lvl w:ilvl="7">
      <w:start w:val="1"/>
      <w:numFmt w:val="decimal"/>
      <w:isLgl/>
      <w:lvlText w:val="%1.%2.%3.%4.%5.%6.%7.%8."/>
      <w:lvlJc w:val="left"/>
      <w:pPr>
        <w:ind w:left="4161" w:hanging="1440"/>
      </w:pPr>
      <w:rPr>
        <w:rFonts w:hint="default"/>
      </w:rPr>
    </w:lvl>
    <w:lvl w:ilvl="8">
      <w:start w:val="1"/>
      <w:numFmt w:val="decimal"/>
      <w:isLgl/>
      <w:lvlText w:val="%1.%2.%3.%4.%5.%6.%7.%8.%9."/>
      <w:lvlJc w:val="left"/>
      <w:pPr>
        <w:ind w:left="4809" w:hanging="1800"/>
      </w:pPr>
      <w:rPr>
        <w:rFonts w:hint="default"/>
      </w:rPr>
    </w:lvl>
  </w:abstractNum>
  <w:abstractNum w:abstractNumId="10" w15:restartNumberingAfterBreak="0">
    <w:nsid w:val="78C9086C"/>
    <w:multiLevelType w:val="multilevel"/>
    <w:tmpl w:val="A9F47206"/>
    <w:lvl w:ilvl="0">
      <w:start w:val="1"/>
      <w:numFmt w:val="upperRoman"/>
      <w:lvlText w:val="%1."/>
      <w:lvlJc w:val="left"/>
      <w:pPr>
        <w:tabs>
          <w:tab w:val="num" w:pos="1080"/>
        </w:tabs>
        <w:ind w:left="1080" w:hanging="72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abstractNumId w:val="2"/>
  </w:num>
  <w:num w:numId="2">
    <w:abstractNumId w:val="7"/>
  </w:num>
  <w:num w:numId="3">
    <w:abstractNumId w:val="10"/>
  </w:num>
  <w:num w:numId="4">
    <w:abstractNumId w:val="1"/>
  </w:num>
  <w:num w:numId="5">
    <w:abstractNumId w:val="6"/>
  </w:num>
  <w:num w:numId="6">
    <w:abstractNumId w:val="8"/>
  </w:num>
  <w:num w:numId="7">
    <w:abstractNumId w:val="9"/>
  </w:num>
  <w:num w:numId="8">
    <w:abstractNumId w:val="0"/>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93"/>
    <w:rsid w:val="0004466D"/>
    <w:rsid w:val="000F47B5"/>
    <w:rsid w:val="00160222"/>
    <w:rsid w:val="00160E77"/>
    <w:rsid w:val="001755C1"/>
    <w:rsid w:val="001B4919"/>
    <w:rsid w:val="001B6CA4"/>
    <w:rsid w:val="001F5339"/>
    <w:rsid w:val="00217DCC"/>
    <w:rsid w:val="00256E93"/>
    <w:rsid w:val="002A4FB1"/>
    <w:rsid w:val="002E37CE"/>
    <w:rsid w:val="003824D1"/>
    <w:rsid w:val="003F06BE"/>
    <w:rsid w:val="004807D5"/>
    <w:rsid w:val="004835E3"/>
    <w:rsid w:val="004A1B82"/>
    <w:rsid w:val="004E1646"/>
    <w:rsid w:val="004E7E64"/>
    <w:rsid w:val="0051521E"/>
    <w:rsid w:val="005168C7"/>
    <w:rsid w:val="00516978"/>
    <w:rsid w:val="00566419"/>
    <w:rsid w:val="00571716"/>
    <w:rsid w:val="005955FA"/>
    <w:rsid w:val="005A5B31"/>
    <w:rsid w:val="005C16AC"/>
    <w:rsid w:val="005D440E"/>
    <w:rsid w:val="00641BA9"/>
    <w:rsid w:val="00687B5D"/>
    <w:rsid w:val="006C75F4"/>
    <w:rsid w:val="006F03E2"/>
    <w:rsid w:val="006F0F1B"/>
    <w:rsid w:val="007369D9"/>
    <w:rsid w:val="00761982"/>
    <w:rsid w:val="007763BD"/>
    <w:rsid w:val="007B6084"/>
    <w:rsid w:val="00842832"/>
    <w:rsid w:val="0086197C"/>
    <w:rsid w:val="008A25C9"/>
    <w:rsid w:val="008D0D24"/>
    <w:rsid w:val="008D10B1"/>
    <w:rsid w:val="008F3CE8"/>
    <w:rsid w:val="00917ACB"/>
    <w:rsid w:val="00953188"/>
    <w:rsid w:val="00995718"/>
    <w:rsid w:val="009B7C4B"/>
    <w:rsid w:val="009E0625"/>
    <w:rsid w:val="009F54D7"/>
    <w:rsid w:val="00A7277C"/>
    <w:rsid w:val="00AD36AD"/>
    <w:rsid w:val="00AE741C"/>
    <w:rsid w:val="00B037D8"/>
    <w:rsid w:val="00B95FC5"/>
    <w:rsid w:val="00BB0EFA"/>
    <w:rsid w:val="00BE6CE6"/>
    <w:rsid w:val="00C761BD"/>
    <w:rsid w:val="00C961F3"/>
    <w:rsid w:val="00D046EB"/>
    <w:rsid w:val="00D25BF4"/>
    <w:rsid w:val="00DE660E"/>
    <w:rsid w:val="00E337AF"/>
    <w:rsid w:val="00E37A97"/>
    <w:rsid w:val="00E43D31"/>
    <w:rsid w:val="00E570B4"/>
    <w:rsid w:val="00EB0AD7"/>
    <w:rsid w:val="00EF503B"/>
    <w:rsid w:val="00F11765"/>
    <w:rsid w:val="00F15FA4"/>
    <w:rsid w:val="00F65CFE"/>
    <w:rsid w:val="00FC59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chartTrackingRefBased/>
  <w15:docId w15:val="{20DFA425-6DCB-4C8C-931D-50937828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jc w:val="center"/>
      <w:outlineLvl w:val="1"/>
    </w:pPr>
    <w:rPr>
      <w:sz w:val="36"/>
    </w:rPr>
  </w:style>
  <w:style w:type="paragraph" w:styleId="Nadpis3">
    <w:name w:val="heading 3"/>
    <w:basedOn w:val="Normln"/>
    <w:next w:val="Normln"/>
    <w:qFormat/>
    <w:pPr>
      <w:keepNext/>
      <w:jc w:val="center"/>
      <w:outlineLvl w:val="2"/>
    </w:pPr>
    <w:rPr>
      <w:sz w:val="24"/>
    </w:rPr>
  </w:style>
  <w:style w:type="paragraph" w:styleId="Nadpis4">
    <w:name w:val="heading 4"/>
    <w:basedOn w:val="Normln"/>
    <w:next w:val="Normln"/>
    <w:qFormat/>
    <w:pPr>
      <w:keepNext/>
      <w:outlineLvl w:val="3"/>
    </w:pPr>
    <w:rPr>
      <w:sz w:val="36"/>
    </w:rPr>
  </w:style>
  <w:style w:type="paragraph" w:styleId="Nadpis5">
    <w:name w:val="heading 5"/>
    <w:basedOn w:val="Normln"/>
    <w:next w:val="Normln"/>
    <w:qFormat/>
    <w:pPr>
      <w:keepNext/>
      <w:ind w:left="283" w:hanging="283"/>
      <w:outlineLvl w:val="4"/>
    </w:pPr>
    <w:rPr>
      <w:sz w:val="36"/>
    </w:rPr>
  </w:style>
  <w:style w:type="paragraph" w:styleId="Nadpis6">
    <w:name w:val="heading 6"/>
    <w:basedOn w:val="Normln"/>
    <w:next w:val="Normln"/>
    <w:qFormat/>
    <w:pPr>
      <w:keepNext/>
      <w:ind w:left="283" w:hanging="283"/>
      <w:outlineLvl w:val="5"/>
    </w:pPr>
    <w:rPr>
      <w:b/>
      <w:sz w:val="36"/>
    </w:rPr>
  </w:style>
  <w:style w:type="paragraph" w:styleId="Nadpis7">
    <w:name w:val="heading 7"/>
    <w:basedOn w:val="Normln"/>
    <w:next w:val="Normln"/>
    <w:qFormat/>
    <w:pPr>
      <w:keepNext/>
      <w:ind w:firstLine="4820"/>
      <w:outlineLvl w:val="6"/>
    </w:pPr>
    <w:rPr>
      <w:sz w:val="24"/>
    </w:rPr>
  </w:style>
  <w:style w:type="paragraph" w:styleId="Nadpis8">
    <w:name w:val="heading 8"/>
    <w:basedOn w:val="Normln"/>
    <w:next w:val="Normln"/>
    <w:qFormat/>
    <w:pPr>
      <w:keepNext/>
      <w:ind w:left="480" w:firstLine="5190"/>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8"/>
      <w:u w:val="single"/>
    </w:rPr>
  </w:style>
  <w:style w:type="paragraph" w:styleId="Zhlav">
    <w:name w:val="header"/>
    <w:basedOn w:val="Normln"/>
    <w:link w:val="ZhlavChar"/>
    <w:uiPriority w:val="99"/>
    <w:rsid w:val="00917ACB"/>
    <w:pPr>
      <w:tabs>
        <w:tab w:val="center" w:pos="4536"/>
        <w:tab w:val="right" w:pos="9072"/>
      </w:tabs>
    </w:pPr>
  </w:style>
  <w:style w:type="paragraph" w:styleId="Zpat">
    <w:name w:val="footer"/>
    <w:basedOn w:val="Normln"/>
    <w:link w:val="ZpatChar"/>
    <w:uiPriority w:val="99"/>
    <w:rsid w:val="00917ACB"/>
    <w:pPr>
      <w:tabs>
        <w:tab w:val="center" w:pos="4536"/>
        <w:tab w:val="right" w:pos="9072"/>
      </w:tabs>
    </w:pPr>
  </w:style>
  <w:style w:type="paragraph" w:styleId="Textbubliny">
    <w:name w:val="Balloon Text"/>
    <w:basedOn w:val="Normln"/>
    <w:semiHidden/>
    <w:rsid w:val="005955FA"/>
    <w:rPr>
      <w:rFonts w:ascii="Tahoma" w:hAnsi="Tahoma" w:cs="Tahoma"/>
      <w:sz w:val="16"/>
      <w:szCs w:val="16"/>
    </w:rPr>
  </w:style>
  <w:style w:type="character" w:styleId="slostrnky">
    <w:name w:val="page number"/>
    <w:basedOn w:val="Standardnpsmoodstavce"/>
    <w:rsid w:val="00F11765"/>
  </w:style>
  <w:style w:type="character" w:customStyle="1" w:styleId="valuecj">
    <w:name w:val="value cj"/>
    <w:basedOn w:val="Standardnpsmoodstavce"/>
    <w:rsid w:val="003824D1"/>
  </w:style>
  <w:style w:type="character" w:customStyle="1" w:styleId="ZhlavChar">
    <w:name w:val="Záhlaví Char"/>
    <w:basedOn w:val="Standardnpsmoodstavce"/>
    <w:link w:val="Zhlav"/>
    <w:uiPriority w:val="99"/>
    <w:rsid w:val="00F15FA4"/>
  </w:style>
  <w:style w:type="paragraph" w:styleId="Normlnweb">
    <w:name w:val="Normal (Web)"/>
    <w:basedOn w:val="Normln"/>
    <w:uiPriority w:val="99"/>
    <w:unhideWhenUsed/>
    <w:rsid w:val="00D25BF4"/>
    <w:pPr>
      <w:overflowPunct/>
      <w:autoSpaceDE/>
      <w:autoSpaceDN/>
      <w:adjustRightInd/>
      <w:spacing w:before="100" w:beforeAutospacing="1" w:after="100" w:afterAutospacing="1"/>
      <w:textAlignment w:val="auto"/>
    </w:pPr>
    <w:rPr>
      <w:rFonts w:eastAsia="Calibri"/>
      <w:sz w:val="24"/>
      <w:szCs w:val="24"/>
    </w:rPr>
  </w:style>
  <w:style w:type="character" w:customStyle="1" w:styleId="ZpatChar">
    <w:name w:val="Zápatí Char"/>
    <w:basedOn w:val="Standardnpsmoodstavce"/>
    <w:link w:val="Zpat"/>
    <w:uiPriority w:val="99"/>
    <w:rsid w:val="00AE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2256</Words>
  <Characters>11446</Characters>
  <Application>Microsoft Office Word</Application>
  <DocSecurity>4</DocSecurity>
  <Lines>95</Lines>
  <Paragraphs>27</Paragraphs>
  <ScaleCrop>false</ScaleCrop>
  <HeadingPairs>
    <vt:vector size="2" baseType="variant">
      <vt:variant>
        <vt:lpstr>Název</vt:lpstr>
      </vt:variant>
      <vt:variant>
        <vt:i4>1</vt:i4>
      </vt:variant>
    </vt:vector>
  </HeadingPairs>
  <TitlesOfParts>
    <vt:vector size="1" baseType="lpstr">
      <vt:lpstr>Obvodní rada m</vt:lpstr>
    </vt:vector>
  </TitlesOfParts>
  <Company>Obvodní úřad m.č. Praha 10</Company>
  <LinksUpToDate>false</LinksUpToDate>
  <CharactersWithSpaces>13675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Obvodní rada m</dc:title>
  <dc:subject/>
  <dc:creator>Vávrová Kateřina DiS. (ÚMČ Praha 10)</dc:creator>
  <cp:keywords/>
  <dc:description/>
  <cp:lastModifiedBy>Vávrová Kateřina DiS. (ÚMČ Praha 10)</cp:lastModifiedBy>
  <cp:revision>2</cp:revision>
  <cp:lastPrinted>2017-08-31T12:29:00Z</cp:lastPrinted>
  <dcterms:created xsi:type="dcterms:W3CDTF">2017-09-04T04:57:00Z</dcterms:created>
  <dcterms:modified xsi:type="dcterms:W3CDTF">2017-09-04T04:57:00Z</dcterms:modified>
</cp:coreProperties>
</file>