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4AA" w:rsidRPr="00E96C75" w:rsidRDefault="008774AA" w:rsidP="008774AA">
      <w:pPr>
        <w:rPr>
          <w:sz w:val="24"/>
          <w:szCs w:val="24"/>
        </w:rPr>
      </w:pPr>
      <w:r w:rsidRPr="00E96C75">
        <w:rPr>
          <w:sz w:val="24"/>
          <w:szCs w:val="24"/>
        </w:rPr>
        <w:tab/>
      </w:r>
      <w:r w:rsidRPr="00E96C75">
        <w:rPr>
          <w:sz w:val="24"/>
          <w:szCs w:val="24"/>
        </w:rPr>
        <w:tab/>
      </w:r>
      <w:r w:rsidRPr="00E96C75">
        <w:rPr>
          <w:sz w:val="24"/>
          <w:szCs w:val="24"/>
        </w:rPr>
        <w:tab/>
      </w:r>
      <w:r w:rsidRPr="00E96C75">
        <w:rPr>
          <w:sz w:val="24"/>
          <w:szCs w:val="24"/>
        </w:rPr>
        <w:tab/>
      </w:r>
      <w:r w:rsidRPr="00E96C75">
        <w:rPr>
          <w:sz w:val="24"/>
          <w:szCs w:val="24"/>
        </w:rPr>
        <w:tab/>
      </w:r>
      <w:r w:rsidRPr="00E96C75">
        <w:rPr>
          <w:sz w:val="24"/>
          <w:szCs w:val="24"/>
        </w:rPr>
        <w:tab/>
        <w:t xml:space="preserve">                     </w:t>
      </w:r>
      <w:r w:rsidRPr="00E96C75">
        <w:rPr>
          <w:sz w:val="24"/>
          <w:szCs w:val="24"/>
        </w:rPr>
        <w:tab/>
      </w:r>
      <w:r w:rsidRPr="00E96C75">
        <w:rPr>
          <w:sz w:val="24"/>
          <w:szCs w:val="24"/>
        </w:rPr>
        <w:tab/>
      </w:r>
    </w:p>
    <w:p w:rsidR="008774AA" w:rsidRPr="00E96C75" w:rsidRDefault="000D69D2" w:rsidP="008774AA">
      <w:pPr>
        <w:rPr>
          <w:sz w:val="24"/>
          <w:szCs w:val="24"/>
        </w:rPr>
      </w:pPr>
      <w:r>
        <w:rPr>
          <w:sz w:val="24"/>
          <w:szCs w:val="24"/>
        </w:rPr>
        <w:t xml:space="preserve">Rada MČ Praha 10                   </w:t>
      </w:r>
      <w:r w:rsidR="009F5991" w:rsidRPr="00E96C75">
        <w:rPr>
          <w:sz w:val="24"/>
          <w:szCs w:val="24"/>
        </w:rPr>
        <w:t xml:space="preserve"> </w:t>
      </w:r>
      <w:r w:rsidR="009F5991" w:rsidRPr="00E96C75">
        <w:rPr>
          <w:sz w:val="24"/>
          <w:szCs w:val="24"/>
        </w:rPr>
        <w:tab/>
      </w:r>
      <w:r w:rsidR="009F5991" w:rsidRPr="00E96C75">
        <w:rPr>
          <w:sz w:val="24"/>
          <w:szCs w:val="24"/>
        </w:rPr>
        <w:tab/>
      </w:r>
      <w:r w:rsidR="009F5991" w:rsidRPr="00E96C75">
        <w:rPr>
          <w:sz w:val="24"/>
          <w:szCs w:val="24"/>
        </w:rPr>
        <w:tab/>
      </w:r>
      <w:r w:rsidR="009F5991" w:rsidRPr="00E96C75">
        <w:rPr>
          <w:sz w:val="24"/>
          <w:szCs w:val="24"/>
        </w:rPr>
        <w:tab/>
        <w:t>2</w:t>
      </w:r>
      <w:r w:rsidR="008774AA" w:rsidRPr="00E96C75">
        <w:rPr>
          <w:sz w:val="24"/>
          <w:szCs w:val="24"/>
        </w:rPr>
        <w:t>.</w:t>
      </w:r>
      <w:r>
        <w:rPr>
          <w:sz w:val="24"/>
          <w:szCs w:val="24"/>
        </w:rPr>
        <w:t xml:space="preserve"> zasedání</w:t>
      </w:r>
    </w:p>
    <w:p w:rsidR="000D69D2" w:rsidRDefault="000D69D2" w:rsidP="000D69D2">
      <w:pPr>
        <w:ind w:left="2832" w:hanging="2832"/>
        <w:rPr>
          <w:sz w:val="24"/>
          <w:szCs w:val="24"/>
        </w:rPr>
      </w:pPr>
      <w:r>
        <w:rPr>
          <w:sz w:val="24"/>
          <w:szCs w:val="24"/>
        </w:rPr>
        <w:tab/>
      </w:r>
      <w:r>
        <w:rPr>
          <w:sz w:val="24"/>
          <w:szCs w:val="24"/>
        </w:rPr>
        <w:tab/>
      </w:r>
      <w:r>
        <w:rPr>
          <w:sz w:val="24"/>
          <w:szCs w:val="24"/>
        </w:rPr>
        <w:tab/>
      </w:r>
      <w:r>
        <w:rPr>
          <w:sz w:val="24"/>
          <w:szCs w:val="24"/>
        </w:rPr>
        <w:tab/>
      </w:r>
      <w:r w:rsidR="008774AA" w:rsidRPr="00E96C75">
        <w:rPr>
          <w:sz w:val="24"/>
          <w:szCs w:val="24"/>
        </w:rPr>
        <w:t xml:space="preserve">            </w:t>
      </w:r>
      <w:r>
        <w:rPr>
          <w:sz w:val="24"/>
          <w:szCs w:val="24"/>
        </w:rPr>
        <w:t>Zastupitelstva MČ Praha 10</w:t>
      </w:r>
    </w:p>
    <w:p w:rsidR="008774AA" w:rsidRPr="00E96C75" w:rsidRDefault="000D69D2" w:rsidP="000D69D2">
      <w:pPr>
        <w:ind w:left="2832" w:hanging="2832"/>
        <w:rPr>
          <w:sz w:val="24"/>
          <w:szCs w:val="24"/>
        </w:rPr>
      </w:pPr>
      <w:r>
        <w:rPr>
          <w:sz w:val="24"/>
          <w:szCs w:val="24"/>
        </w:rPr>
        <w:t xml:space="preserve">                                                                                              </w:t>
      </w:r>
      <w:r w:rsidR="00EA08CD" w:rsidRPr="00E96C75">
        <w:rPr>
          <w:sz w:val="24"/>
          <w:szCs w:val="24"/>
        </w:rPr>
        <w:t xml:space="preserve">dne </w:t>
      </w:r>
      <w:r>
        <w:rPr>
          <w:sz w:val="24"/>
          <w:szCs w:val="24"/>
        </w:rPr>
        <w:t>10</w:t>
      </w:r>
      <w:r w:rsidR="00EA08CD" w:rsidRPr="00E96C75">
        <w:rPr>
          <w:sz w:val="24"/>
          <w:szCs w:val="24"/>
        </w:rPr>
        <w:t>.</w:t>
      </w:r>
      <w:r>
        <w:rPr>
          <w:sz w:val="24"/>
          <w:szCs w:val="24"/>
        </w:rPr>
        <w:t>12</w:t>
      </w:r>
      <w:r w:rsidR="008774AA" w:rsidRPr="00E96C75">
        <w:rPr>
          <w:sz w:val="24"/>
          <w:szCs w:val="24"/>
        </w:rPr>
        <w:t>.2018</w:t>
      </w:r>
    </w:p>
    <w:p w:rsidR="008774AA" w:rsidRPr="00E96C75" w:rsidRDefault="008774AA" w:rsidP="008774AA">
      <w:pPr>
        <w:jc w:val="both"/>
        <w:rPr>
          <w:sz w:val="22"/>
          <w:szCs w:val="22"/>
        </w:rPr>
      </w:pPr>
    </w:p>
    <w:p w:rsidR="008774AA" w:rsidRPr="00E96C75" w:rsidRDefault="008774AA" w:rsidP="008774AA">
      <w:pPr>
        <w:jc w:val="both"/>
        <w:rPr>
          <w:sz w:val="22"/>
          <w:szCs w:val="22"/>
        </w:rPr>
      </w:pPr>
    </w:p>
    <w:p w:rsidR="008774AA" w:rsidRPr="00E96C75" w:rsidRDefault="008774AA" w:rsidP="008774AA">
      <w:pPr>
        <w:jc w:val="both"/>
        <w:rPr>
          <w:sz w:val="22"/>
          <w:szCs w:val="22"/>
        </w:rPr>
      </w:pPr>
    </w:p>
    <w:p w:rsidR="008774AA" w:rsidRPr="00E96C75" w:rsidRDefault="00EA3BF5" w:rsidP="00EA3BF5">
      <w:pPr>
        <w:jc w:val="center"/>
        <w:textAlignment w:val="baseline"/>
        <w:rPr>
          <w:b/>
          <w:bCs/>
          <w:sz w:val="28"/>
          <w:szCs w:val="28"/>
          <w:u w:val="single"/>
        </w:rPr>
      </w:pPr>
      <w:r w:rsidRPr="00E96C75">
        <w:rPr>
          <w:b/>
          <w:sz w:val="28"/>
          <w:szCs w:val="28"/>
          <w:u w:val="single"/>
        </w:rPr>
        <w:t xml:space="preserve">Výsledky uskutečněné kontroly výkonu samostatné působnosti provedené </w:t>
      </w:r>
      <w:r w:rsidR="00E42ABF">
        <w:rPr>
          <w:b/>
          <w:sz w:val="28"/>
          <w:szCs w:val="28"/>
          <w:u w:val="single"/>
        </w:rPr>
        <w:br/>
      </w:r>
      <w:r w:rsidRPr="00E96C75">
        <w:rPr>
          <w:b/>
          <w:sz w:val="28"/>
          <w:szCs w:val="28"/>
          <w:u w:val="single"/>
        </w:rPr>
        <w:t xml:space="preserve">u městské části Praha 10 na základě § 113 odst. 2 zákona č. 131/2000 Sb., </w:t>
      </w:r>
      <w:r w:rsidR="00E42ABF">
        <w:rPr>
          <w:b/>
          <w:sz w:val="28"/>
          <w:szCs w:val="28"/>
          <w:u w:val="single"/>
        </w:rPr>
        <w:br/>
      </w:r>
      <w:r w:rsidRPr="00E96C75">
        <w:rPr>
          <w:b/>
          <w:sz w:val="28"/>
          <w:szCs w:val="28"/>
          <w:u w:val="single"/>
        </w:rPr>
        <w:t>o hlavním městě Praze, ve znění pozdějších předpisů, v oblasti činností vykonávaných podle zákona č. 106/1999 Sb., o svobodném přístupu k informacím, ve znění pozdějších předpisů</w:t>
      </w:r>
      <w:r w:rsidR="009F5991" w:rsidRPr="00E96C75">
        <w:rPr>
          <w:b/>
          <w:sz w:val="28"/>
          <w:szCs w:val="28"/>
          <w:u w:val="single"/>
        </w:rPr>
        <w:t xml:space="preserve">, a informace o způsobu, </w:t>
      </w:r>
      <w:r w:rsidR="00E42ABF">
        <w:rPr>
          <w:b/>
          <w:sz w:val="28"/>
          <w:szCs w:val="28"/>
          <w:u w:val="single"/>
        </w:rPr>
        <w:br/>
      </w:r>
      <w:r w:rsidR="009F5991" w:rsidRPr="00E96C75">
        <w:rPr>
          <w:b/>
          <w:sz w:val="28"/>
          <w:szCs w:val="28"/>
          <w:u w:val="single"/>
        </w:rPr>
        <w:t xml:space="preserve">jakým došlo k nápravě kontrolou zjištěných nedostatků </w:t>
      </w:r>
      <w:r w:rsidR="00E42ABF">
        <w:rPr>
          <w:b/>
          <w:sz w:val="28"/>
          <w:szCs w:val="28"/>
          <w:u w:val="single"/>
        </w:rPr>
        <w:br/>
      </w:r>
      <w:r w:rsidR="009F5991" w:rsidRPr="00E96C75">
        <w:rPr>
          <w:b/>
          <w:sz w:val="28"/>
          <w:szCs w:val="28"/>
          <w:u w:val="single"/>
        </w:rPr>
        <w:t>a k zamezení jejich opakování</w:t>
      </w:r>
    </w:p>
    <w:p w:rsidR="008774AA" w:rsidRPr="00E96C75" w:rsidRDefault="008774AA" w:rsidP="008774AA">
      <w:pPr>
        <w:rPr>
          <w:sz w:val="22"/>
          <w:szCs w:val="22"/>
        </w:rPr>
      </w:pPr>
    </w:p>
    <w:p w:rsidR="008774AA" w:rsidRPr="00E96C75" w:rsidRDefault="008774AA" w:rsidP="008774AA">
      <w:pPr>
        <w:rPr>
          <w:sz w:val="24"/>
          <w:szCs w:val="24"/>
          <w:u w:val="single"/>
        </w:rPr>
      </w:pPr>
      <w:r w:rsidRPr="00E96C75">
        <w:rPr>
          <w:b/>
          <w:sz w:val="24"/>
          <w:szCs w:val="24"/>
          <w:u w:val="single"/>
        </w:rPr>
        <w:t>Důvod předložení</w:t>
      </w:r>
      <w:r w:rsidRPr="00E96C75">
        <w:rPr>
          <w:sz w:val="24"/>
          <w:szCs w:val="24"/>
          <w:u w:val="single"/>
        </w:rPr>
        <w:t>:</w:t>
      </w:r>
    </w:p>
    <w:p w:rsidR="008774AA" w:rsidRPr="00E96C75" w:rsidRDefault="008774AA" w:rsidP="008774AA">
      <w:pPr>
        <w:rPr>
          <w:sz w:val="24"/>
          <w:szCs w:val="24"/>
          <w:u w:val="single"/>
        </w:rPr>
      </w:pPr>
      <w:r w:rsidRPr="00E96C75">
        <w:rPr>
          <w:sz w:val="24"/>
          <w:szCs w:val="24"/>
        </w:rPr>
        <w:t>§</w:t>
      </w:r>
      <w:r w:rsidR="00E42ABF">
        <w:rPr>
          <w:sz w:val="24"/>
          <w:szCs w:val="24"/>
        </w:rPr>
        <w:t xml:space="preserve"> 64 odst. 1 ve spojení s §</w:t>
      </w:r>
      <w:r w:rsidR="009F5991" w:rsidRPr="00E96C75">
        <w:rPr>
          <w:sz w:val="24"/>
          <w:szCs w:val="24"/>
        </w:rPr>
        <w:t xml:space="preserve"> 94 odst. 1</w:t>
      </w:r>
      <w:r w:rsidRPr="00E96C75">
        <w:rPr>
          <w:sz w:val="24"/>
          <w:szCs w:val="24"/>
        </w:rPr>
        <w:t xml:space="preserve"> zákona č. 131/2000 Sb., o hl. m. Praze, v platném znění. </w:t>
      </w:r>
    </w:p>
    <w:p w:rsidR="008774AA" w:rsidRPr="00E96C75" w:rsidRDefault="008774AA" w:rsidP="008774AA">
      <w:pPr>
        <w:rPr>
          <w:sz w:val="24"/>
          <w:szCs w:val="24"/>
          <w:u w:val="single"/>
        </w:rPr>
      </w:pPr>
    </w:p>
    <w:p w:rsidR="008774AA" w:rsidRPr="00E96C75" w:rsidRDefault="008774AA" w:rsidP="008774AA">
      <w:pPr>
        <w:rPr>
          <w:sz w:val="24"/>
          <w:szCs w:val="24"/>
          <w:u w:val="single"/>
        </w:rPr>
      </w:pPr>
    </w:p>
    <w:p w:rsidR="008774AA" w:rsidRPr="00E96C75" w:rsidRDefault="008774AA" w:rsidP="008774AA">
      <w:pPr>
        <w:rPr>
          <w:b/>
          <w:sz w:val="24"/>
          <w:szCs w:val="24"/>
          <w:u w:val="single"/>
        </w:rPr>
      </w:pPr>
      <w:r w:rsidRPr="00E96C75">
        <w:rPr>
          <w:b/>
          <w:sz w:val="24"/>
          <w:szCs w:val="24"/>
          <w:u w:val="single"/>
        </w:rPr>
        <w:t>Obsah:</w:t>
      </w:r>
    </w:p>
    <w:p w:rsidR="008774AA" w:rsidRPr="00E96C75" w:rsidRDefault="008774AA" w:rsidP="008774AA">
      <w:pPr>
        <w:rPr>
          <w:sz w:val="24"/>
          <w:szCs w:val="24"/>
        </w:rPr>
      </w:pPr>
      <w:r w:rsidRPr="00E96C75">
        <w:rPr>
          <w:sz w:val="24"/>
          <w:szCs w:val="24"/>
        </w:rPr>
        <w:t xml:space="preserve">I.   Návrh usnesení </w:t>
      </w:r>
      <w:r w:rsidR="0043724E">
        <w:rPr>
          <w:sz w:val="24"/>
          <w:szCs w:val="24"/>
        </w:rPr>
        <w:t>ZMČ</w:t>
      </w:r>
    </w:p>
    <w:p w:rsidR="008774AA" w:rsidRPr="00E96C75" w:rsidRDefault="008774AA" w:rsidP="008774AA">
      <w:pPr>
        <w:rPr>
          <w:sz w:val="24"/>
          <w:szCs w:val="24"/>
        </w:rPr>
      </w:pPr>
      <w:r w:rsidRPr="00E96C75">
        <w:rPr>
          <w:sz w:val="24"/>
          <w:szCs w:val="24"/>
        </w:rPr>
        <w:t>II.  Důvodová zpráva</w:t>
      </w:r>
    </w:p>
    <w:p w:rsidR="008774AA" w:rsidRPr="00E96C75" w:rsidRDefault="0043724E" w:rsidP="00EA3BF5">
      <w:pPr>
        <w:jc w:val="both"/>
        <w:rPr>
          <w:sz w:val="24"/>
          <w:szCs w:val="24"/>
        </w:rPr>
      </w:pPr>
      <w:r>
        <w:rPr>
          <w:sz w:val="24"/>
          <w:szCs w:val="24"/>
        </w:rPr>
        <w:t xml:space="preserve">III. </w:t>
      </w:r>
      <w:r w:rsidR="008774AA" w:rsidRPr="00E96C75">
        <w:rPr>
          <w:sz w:val="24"/>
          <w:szCs w:val="24"/>
        </w:rPr>
        <w:t xml:space="preserve">Příloha </w:t>
      </w:r>
      <w:r>
        <w:rPr>
          <w:sz w:val="24"/>
          <w:szCs w:val="24"/>
        </w:rPr>
        <w:t>1</w:t>
      </w:r>
      <w:r w:rsidR="00EA3BF5" w:rsidRPr="00E96C75">
        <w:rPr>
          <w:sz w:val="24"/>
          <w:szCs w:val="24"/>
        </w:rPr>
        <w:t xml:space="preserve"> – Výsledky uskutečněné kontroly výkonu samostatné působnosti provedené </w:t>
      </w:r>
      <w:r w:rsidR="00E42ABF">
        <w:rPr>
          <w:sz w:val="24"/>
          <w:szCs w:val="24"/>
        </w:rPr>
        <w:br/>
      </w:r>
      <w:r w:rsidR="00EA3BF5" w:rsidRPr="00E96C75">
        <w:rPr>
          <w:sz w:val="24"/>
          <w:szCs w:val="24"/>
        </w:rPr>
        <w:t xml:space="preserve">u městské části Praha 10 na základě § 113 odst. 2 zákona č. 131/2000 Sb., </w:t>
      </w:r>
      <w:r w:rsidR="00E42ABF">
        <w:rPr>
          <w:sz w:val="24"/>
          <w:szCs w:val="24"/>
        </w:rPr>
        <w:br/>
      </w:r>
      <w:r w:rsidR="00EA3BF5" w:rsidRPr="00E96C75">
        <w:rPr>
          <w:sz w:val="24"/>
          <w:szCs w:val="24"/>
        </w:rPr>
        <w:t xml:space="preserve">o hlavním městě Praze, ve znění pozdějších předpisů, v oblasti činností vykonávaných </w:t>
      </w:r>
      <w:r w:rsidR="00E42ABF">
        <w:rPr>
          <w:sz w:val="24"/>
          <w:szCs w:val="24"/>
        </w:rPr>
        <w:br/>
      </w:r>
      <w:r w:rsidR="00EA3BF5" w:rsidRPr="00E96C75">
        <w:rPr>
          <w:sz w:val="24"/>
          <w:szCs w:val="24"/>
        </w:rPr>
        <w:t>podle zákona č. 106/1999 Sb., o svobodném přístupu k informacím, ve znění pozdějších předpisů</w:t>
      </w:r>
      <w:r w:rsidR="009F5991" w:rsidRPr="00E96C75">
        <w:rPr>
          <w:sz w:val="24"/>
          <w:szCs w:val="24"/>
        </w:rPr>
        <w:t xml:space="preserve">, a informace o způsobu, jakým došlo k nápravě kontrolou zjištěných nedostatků </w:t>
      </w:r>
      <w:r w:rsidR="00E42ABF">
        <w:rPr>
          <w:sz w:val="24"/>
          <w:szCs w:val="24"/>
        </w:rPr>
        <w:br/>
      </w:r>
      <w:r w:rsidR="009F5991" w:rsidRPr="00E96C75">
        <w:rPr>
          <w:sz w:val="24"/>
          <w:szCs w:val="24"/>
        </w:rPr>
        <w:t>a k zamezení jejich opakování</w:t>
      </w:r>
    </w:p>
    <w:p w:rsidR="008774AA" w:rsidRPr="00E96C75" w:rsidRDefault="008774AA" w:rsidP="008774AA">
      <w:pPr>
        <w:rPr>
          <w:sz w:val="24"/>
          <w:szCs w:val="24"/>
        </w:rPr>
      </w:pPr>
    </w:p>
    <w:p w:rsidR="008774AA" w:rsidRPr="00E96C75" w:rsidRDefault="008774AA" w:rsidP="008774AA">
      <w:pPr>
        <w:rPr>
          <w:sz w:val="24"/>
          <w:szCs w:val="24"/>
        </w:rPr>
      </w:pPr>
    </w:p>
    <w:p w:rsidR="008774AA" w:rsidRPr="00E96C75" w:rsidRDefault="008774AA" w:rsidP="008774AA">
      <w:pPr>
        <w:rPr>
          <w:b/>
          <w:sz w:val="24"/>
          <w:szCs w:val="24"/>
          <w:u w:val="single"/>
        </w:rPr>
      </w:pPr>
      <w:r w:rsidRPr="00E96C75">
        <w:rPr>
          <w:b/>
          <w:sz w:val="24"/>
          <w:szCs w:val="24"/>
          <w:u w:val="single"/>
        </w:rPr>
        <w:t>Stanoviska:</w:t>
      </w:r>
    </w:p>
    <w:p w:rsidR="008774AA" w:rsidRPr="00E96C75" w:rsidRDefault="008774AA" w:rsidP="008774AA">
      <w:pPr>
        <w:rPr>
          <w:sz w:val="24"/>
          <w:szCs w:val="24"/>
        </w:rPr>
      </w:pPr>
      <w:r w:rsidRPr="00E96C75">
        <w:rPr>
          <w:sz w:val="24"/>
          <w:szCs w:val="24"/>
        </w:rPr>
        <w:t xml:space="preserve">I.   Výborů ZMČ: </w:t>
      </w:r>
      <w:r w:rsidRPr="00E96C75">
        <w:rPr>
          <w:sz w:val="24"/>
          <w:szCs w:val="24"/>
        </w:rPr>
        <w:tab/>
        <w:t>-</w:t>
      </w:r>
    </w:p>
    <w:p w:rsidR="008774AA" w:rsidRPr="00E96C75" w:rsidRDefault="008774AA" w:rsidP="008774AA">
      <w:pPr>
        <w:rPr>
          <w:sz w:val="24"/>
          <w:szCs w:val="24"/>
        </w:rPr>
      </w:pPr>
      <w:r w:rsidRPr="00E96C75">
        <w:rPr>
          <w:sz w:val="24"/>
          <w:szCs w:val="24"/>
        </w:rPr>
        <w:t>II.  Komisí RMČ:</w:t>
      </w:r>
      <w:r w:rsidRPr="00E96C75">
        <w:rPr>
          <w:sz w:val="24"/>
          <w:szCs w:val="24"/>
        </w:rPr>
        <w:tab/>
        <w:t xml:space="preserve">- </w:t>
      </w:r>
    </w:p>
    <w:p w:rsidR="008774AA" w:rsidRPr="00E96C75" w:rsidRDefault="008774AA" w:rsidP="008774AA">
      <w:pPr>
        <w:rPr>
          <w:sz w:val="24"/>
          <w:szCs w:val="24"/>
        </w:rPr>
      </w:pPr>
      <w:r w:rsidRPr="00E96C75">
        <w:rPr>
          <w:sz w:val="24"/>
          <w:szCs w:val="24"/>
        </w:rPr>
        <w:t>I</w:t>
      </w:r>
      <w:r w:rsidR="00EA3BF5" w:rsidRPr="00E96C75">
        <w:rPr>
          <w:sz w:val="24"/>
          <w:szCs w:val="24"/>
        </w:rPr>
        <w:t xml:space="preserve">II. Odborů ÚMČ: </w:t>
      </w:r>
      <w:r w:rsidR="00EA3BF5" w:rsidRPr="00E96C75">
        <w:rPr>
          <w:sz w:val="24"/>
          <w:szCs w:val="24"/>
        </w:rPr>
        <w:tab/>
        <w:t xml:space="preserve">- </w:t>
      </w:r>
    </w:p>
    <w:p w:rsidR="008774AA" w:rsidRDefault="008774AA" w:rsidP="008774AA">
      <w:pPr>
        <w:rPr>
          <w:sz w:val="24"/>
          <w:szCs w:val="24"/>
          <w:u w:val="single"/>
        </w:rPr>
      </w:pPr>
    </w:p>
    <w:p w:rsidR="00163542" w:rsidRDefault="00163542" w:rsidP="008774AA">
      <w:pPr>
        <w:rPr>
          <w:sz w:val="24"/>
          <w:szCs w:val="24"/>
          <w:u w:val="single"/>
        </w:rPr>
      </w:pPr>
    </w:p>
    <w:p w:rsidR="00163542" w:rsidRDefault="00163542" w:rsidP="008774AA">
      <w:pPr>
        <w:rPr>
          <w:sz w:val="24"/>
          <w:szCs w:val="24"/>
          <w:u w:val="single"/>
        </w:rPr>
      </w:pPr>
    </w:p>
    <w:p w:rsidR="00163542" w:rsidRDefault="00163542" w:rsidP="008774AA">
      <w:pPr>
        <w:rPr>
          <w:sz w:val="24"/>
          <w:szCs w:val="24"/>
          <w:u w:val="single"/>
        </w:rPr>
      </w:pPr>
    </w:p>
    <w:p w:rsidR="00163542" w:rsidRPr="00E96C75" w:rsidRDefault="00163542" w:rsidP="008774AA">
      <w:pPr>
        <w:rPr>
          <w:sz w:val="24"/>
          <w:szCs w:val="24"/>
          <w:u w:val="single"/>
        </w:rPr>
      </w:pPr>
    </w:p>
    <w:p w:rsidR="008774AA" w:rsidRPr="00E96C75" w:rsidRDefault="008774AA" w:rsidP="008774AA">
      <w:pPr>
        <w:rPr>
          <w:sz w:val="24"/>
          <w:szCs w:val="24"/>
          <w:u w:val="single"/>
        </w:rPr>
      </w:pPr>
    </w:p>
    <w:p w:rsidR="008774AA" w:rsidRPr="00E96C75" w:rsidRDefault="008774AA" w:rsidP="008774AA">
      <w:pPr>
        <w:rPr>
          <w:b/>
          <w:sz w:val="24"/>
          <w:szCs w:val="24"/>
          <w:u w:val="single"/>
        </w:rPr>
      </w:pPr>
      <w:r w:rsidRPr="00E96C75">
        <w:rPr>
          <w:b/>
          <w:sz w:val="24"/>
          <w:szCs w:val="24"/>
          <w:u w:val="single"/>
        </w:rPr>
        <w:t>Předkládá:</w:t>
      </w:r>
    </w:p>
    <w:p w:rsidR="008774AA" w:rsidRPr="00E96C75" w:rsidRDefault="00184F85" w:rsidP="008774AA">
      <w:pPr>
        <w:rPr>
          <w:sz w:val="24"/>
          <w:szCs w:val="24"/>
        </w:rPr>
      </w:pPr>
      <w:r>
        <w:rPr>
          <w:sz w:val="24"/>
          <w:szCs w:val="24"/>
        </w:rPr>
        <w:t>Ing. Martin Slavík, tajemník ÚMČ Praha 10</w:t>
      </w:r>
    </w:p>
    <w:p w:rsidR="008774AA" w:rsidRPr="00E96C75" w:rsidRDefault="008774AA" w:rsidP="008774AA">
      <w:pPr>
        <w:rPr>
          <w:sz w:val="24"/>
          <w:szCs w:val="24"/>
          <w:u w:val="single"/>
        </w:rPr>
      </w:pPr>
    </w:p>
    <w:p w:rsidR="008774AA" w:rsidRDefault="008774AA" w:rsidP="008774AA">
      <w:pPr>
        <w:rPr>
          <w:sz w:val="24"/>
          <w:szCs w:val="24"/>
          <w:u w:val="single"/>
        </w:rPr>
      </w:pPr>
    </w:p>
    <w:p w:rsidR="00163542" w:rsidRPr="00E96C75" w:rsidRDefault="00163542" w:rsidP="008774AA">
      <w:pPr>
        <w:rPr>
          <w:sz w:val="24"/>
          <w:szCs w:val="24"/>
          <w:u w:val="single"/>
        </w:rPr>
      </w:pPr>
    </w:p>
    <w:p w:rsidR="008774AA" w:rsidRPr="00E96C75" w:rsidRDefault="008774AA" w:rsidP="008774AA">
      <w:pPr>
        <w:rPr>
          <w:sz w:val="24"/>
          <w:szCs w:val="24"/>
          <w:u w:val="single"/>
        </w:rPr>
      </w:pPr>
    </w:p>
    <w:p w:rsidR="008774AA" w:rsidRPr="00E96C75" w:rsidRDefault="008774AA" w:rsidP="008774AA">
      <w:pPr>
        <w:rPr>
          <w:sz w:val="24"/>
          <w:szCs w:val="24"/>
        </w:rPr>
      </w:pPr>
      <w:r w:rsidRPr="00E96C75">
        <w:rPr>
          <w:b/>
          <w:sz w:val="24"/>
          <w:szCs w:val="24"/>
          <w:u w:val="single"/>
        </w:rPr>
        <w:t xml:space="preserve">Zpracoval: </w:t>
      </w:r>
      <w:r w:rsidRPr="00E96C75">
        <w:rPr>
          <w:sz w:val="24"/>
          <w:szCs w:val="24"/>
        </w:rPr>
        <w:t xml:space="preserve">  </w:t>
      </w:r>
    </w:p>
    <w:p w:rsidR="008774AA" w:rsidRPr="00E96C75" w:rsidRDefault="008774AA" w:rsidP="008774AA">
      <w:pPr>
        <w:rPr>
          <w:sz w:val="24"/>
          <w:szCs w:val="24"/>
        </w:rPr>
      </w:pPr>
      <w:r w:rsidRPr="00E96C75">
        <w:rPr>
          <w:sz w:val="24"/>
          <w:szCs w:val="24"/>
        </w:rPr>
        <w:t>Mgr. Tomáš Kosmel, OKK</w:t>
      </w:r>
    </w:p>
    <w:p w:rsidR="008774AA" w:rsidRPr="00E96C75" w:rsidRDefault="008774AA" w:rsidP="008774AA">
      <w:pPr>
        <w:overflowPunct/>
        <w:autoSpaceDE/>
        <w:adjustRightInd/>
        <w:rPr>
          <w:rFonts w:ascii="Calibri" w:hAnsi="Calibri"/>
          <w:sz w:val="24"/>
          <w:szCs w:val="24"/>
        </w:rPr>
      </w:pPr>
    </w:p>
    <w:p w:rsidR="008774AA" w:rsidRPr="00E96C75" w:rsidRDefault="008774AA" w:rsidP="008774AA">
      <w:pPr>
        <w:rPr>
          <w:sz w:val="36"/>
          <w:szCs w:val="36"/>
        </w:rPr>
      </w:pPr>
    </w:p>
    <w:p w:rsidR="008774AA" w:rsidRPr="00E96C75" w:rsidRDefault="008774AA" w:rsidP="008774AA">
      <w:pPr>
        <w:rPr>
          <w:sz w:val="36"/>
          <w:szCs w:val="36"/>
        </w:rPr>
      </w:pPr>
    </w:p>
    <w:p w:rsidR="008774AA" w:rsidRPr="00E96C75" w:rsidRDefault="008774AA" w:rsidP="008774AA">
      <w:pPr>
        <w:jc w:val="center"/>
        <w:rPr>
          <w:sz w:val="36"/>
          <w:szCs w:val="36"/>
        </w:rPr>
      </w:pPr>
      <w:r w:rsidRPr="00E96C75">
        <w:rPr>
          <w:sz w:val="36"/>
          <w:szCs w:val="36"/>
        </w:rPr>
        <w:t>Městská část Praha 10</w:t>
      </w:r>
    </w:p>
    <w:p w:rsidR="008774AA" w:rsidRPr="00E96C75" w:rsidRDefault="008774AA" w:rsidP="008774AA">
      <w:pPr>
        <w:jc w:val="center"/>
        <w:rPr>
          <w:sz w:val="36"/>
          <w:szCs w:val="36"/>
        </w:rPr>
      </w:pPr>
    </w:p>
    <w:p w:rsidR="008774AA" w:rsidRPr="00E96C75" w:rsidRDefault="008254C7" w:rsidP="008774AA">
      <w:pPr>
        <w:jc w:val="center"/>
        <w:rPr>
          <w:sz w:val="36"/>
          <w:szCs w:val="36"/>
        </w:rPr>
      </w:pPr>
      <w:r>
        <w:rPr>
          <w:sz w:val="36"/>
          <w:szCs w:val="36"/>
        </w:rPr>
        <w:t>ZASTUPITELSTVO MĚST</w:t>
      </w:r>
      <w:r w:rsidR="006E5D13">
        <w:rPr>
          <w:sz w:val="36"/>
          <w:szCs w:val="36"/>
        </w:rPr>
        <w:t>SKÉ ČÁSTI PRAHA 10</w:t>
      </w:r>
    </w:p>
    <w:p w:rsidR="008774AA" w:rsidRPr="00E96C75" w:rsidRDefault="008774AA" w:rsidP="008774AA">
      <w:pPr>
        <w:jc w:val="center"/>
        <w:rPr>
          <w:sz w:val="36"/>
          <w:szCs w:val="36"/>
        </w:rPr>
      </w:pPr>
    </w:p>
    <w:p w:rsidR="008774AA" w:rsidRPr="00E96C75" w:rsidRDefault="008774AA" w:rsidP="008774AA">
      <w:pPr>
        <w:jc w:val="center"/>
        <w:rPr>
          <w:sz w:val="36"/>
          <w:szCs w:val="36"/>
        </w:rPr>
      </w:pPr>
      <w:r w:rsidRPr="00E96C75">
        <w:rPr>
          <w:sz w:val="36"/>
          <w:szCs w:val="36"/>
        </w:rPr>
        <w:t>Návrh usnesení</w:t>
      </w:r>
    </w:p>
    <w:p w:rsidR="008774AA" w:rsidRPr="00E96C75" w:rsidRDefault="006E5D13" w:rsidP="008774AA">
      <w:pPr>
        <w:jc w:val="center"/>
        <w:rPr>
          <w:sz w:val="24"/>
          <w:szCs w:val="24"/>
        </w:rPr>
      </w:pPr>
      <w:r>
        <w:rPr>
          <w:sz w:val="24"/>
          <w:szCs w:val="24"/>
        </w:rPr>
        <w:t>Zastupitelstva měst</w:t>
      </w:r>
      <w:r w:rsidR="008254C7">
        <w:rPr>
          <w:sz w:val="24"/>
          <w:szCs w:val="24"/>
        </w:rPr>
        <w:t>s</w:t>
      </w:r>
      <w:r>
        <w:rPr>
          <w:sz w:val="24"/>
          <w:szCs w:val="24"/>
        </w:rPr>
        <w:t>ké části Praha 10</w:t>
      </w:r>
    </w:p>
    <w:p w:rsidR="008774AA" w:rsidRPr="00E96C75" w:rsidRDefault="00ED4F83" w:rsidP="008774AA">
      <w:pPr>
        <w:jc w:val="center"/>
        <w:rPr>
          <w:sz w:val="24"/>
          <w:szCs w:val="24"/>
        </w:rPr>
      </w:pPr>
      <w:r>
        <w:rPr>
          <w:sz w:val="24"/>
          <w:szCs w:val="24"/>
        </w:rPr>
        <w:t>č</w:t>
      </w:r>
      <w:r w:rsidR="008774AA" w:rsidRPr="00E96C75">
        <w:rPr>
          <w:sz w:val="24"/>
          <w:szCs w:val="24"/>
        </w:rPr>
        <w:t>íslo</w:t>
      </w:r>
      <w:r>
        <w:rPr>
          <w:sz w:val="24"/>
          <w:szCs w:val="24"/>
        </w:rPr>
        <w:t xml:space="preserve"> </w:t>
      </w:r>
    </w:p>
    <w:p w:rsidR="008774AA" w:rsidRPr="00E96C75" w:rsidRDefault="00ED233D" w:rsidP="008774AA">
      <w:pPr>
        <w:jc w:val="center"/>
        <w:rPr>
          <w:sz w:val="24"/>
          <w:szCs w:val="24"/>
        </w:rPr>
      </w:pPr>
      <w:r w:rsidRPr="00E96C75">
        <w:rPr>
          <w:sz w:val="24"/>
          <w:szCs w:val="24"/>
        </w:rPr>
        <w:t xml:space="preserve">ze dne </w:t>
      </w:r>
      <w:r w:rsidR="006E5D13">
        <w:rPr>
          <w:sz w:val="24"/>
          <w:szCs w:val="24"/>
        </w:rPr>
        <w:t>10</w:t>
      </w:r>
      <w:r w:rsidR="00ED4F83">
        <w:rPr>
          <w:sz w:val="24"/>
          <w:szCs w:val="24"/>
        </w:rPr>
        <w:t>.1</w:t>
      </w:r>
      <w:r w:rsidR="006E5D13">
        <w:rPr>
          <w:sz w:val="24"/>
          <w:szCs w:val="24"/>
        </w:rPr>
        <w:t>2</w:t>
      </w:r>
      <w:r w:rsidR="00ED4F83">
        <w:rPr>
          <w:sz w:val="24"/>
          <w:szCs w:val="24"/>
        </w:rPr>
        <w:t>.2018</w:t>
      </w:r>
    </w:p>
    <w:p w:rsidR="008774AA" w:rsidRPr="00E96C75" w:rsidRDefault="008774AA" w:rsidP="008774AA">
      <w:pPr>
        <w:jc w:val="center"/>
        <w:rPr>
          <w:sz w:val="24"/>
          <w:szCs w:val="24"/>
        </w:rPr>
      </w:pPr>
    </w:p>
    <w:p w:rsidR="008774AA" w:rsidRPr="00E96C75" w:rsidRDefault="009F5991" w:rsidP="008774AA">
      <w:pPr>
        <w:jc w:val="both"/>
        <w:textAlignment w:val="baseline"/>
        <w:rPr>
          <w:b/>
          <w:bCs/>
          <w:sz w:val="24"/>
          <w:u w:val="single"/>
        </w:rPr>
      </w:pPr>
      <w:r w:rsidRPr="00E96C75">
        <w:rPr>
          <w:b/>
          <w:sz w:val="24"/>
          <w:u w:val="single"/>
        </w:rPr>
        <w:t>k výsledkům uskutečněné kontroly výkonu samostatné působnosti provedené u městské části Praha 10 na základě § 113 odst. 2 zákona č. 131/2000 Sb., o hlavním městě Praze, ve znění pozdějších předpisů, v oblasti činností vykonávaných podle zákona č. 106/1999 Sb., o svobodném přístupu k informacím, ve znění pozdějších předpisů, a informace o způsobu, jakým došlo k nápravě kontrolou zjištěných nedostatků a k zamezení jejich opakování</w:t>
      </w:r>
    </w:p>
    <w:p w:rsidR="008774AA" w:rsidRPr="00E96C75" w:rsidRDefault="008774AA" w:rsidP="008774AA">
      <w:pPr>
        <w:jc w:val="both"/>
        <w:textAlignment w:val="baseline"/>
        <w:rPr>
          <w:sz w:val="24"/>
          <w:szCs w:val="24"/>
        </w:rPr>
      </w:pPr>
    </w:p>
    <w:p w:rsidR="008774AA" w:rsidRPr="00E96C75" w:rsidRDefault="006E5D13" w:rsidP="008774AA">
      <w:pPr>
        <w:jc w:val="both"/>
        <w:rPr>
          <w:sz w:val="24"/>
          <w:szCs w:val="24"/>
        </w:rPr>
      </w:pPr>
      <w:r>
        <w:rPr>
          <w:sz w:val="24"/>
          <w:szCs w:val="24"/>
        </w:rPr>
        <w:t>Zastupitelstvo městské části Praha 10</w:t>
      </w:r>
    </w:p>
    <w:p w:rsidR="008774AA" w:rsidRPr="00E96C75" w:rsidRDefault="008774AA" w:rsidP="008774AA">
      <w:pPr>
        <w:rPr>
          <w:sz w:val="24"/>
          <w:szCs w:val="24"/>
        </w:rPr>
      </w:pPr>
    </w:p>
    <w:p w:rsidR="008774AA" w:rsidRPr="00E96C75" w:rsidRDefault="008774AA" w:rsidP="008774AA">
      <w:pPr>
        <w:rPr>
          <w:sz w:val="24"/>
          <w:szCs w:val="24"/>
        </w:rPr>
      </w:pPr>
    </w:p>
    <w:p w:rsidR="008774AA" w:rsidRPr="00E96C75" w:rsidRDefault="00EA3BF5" w:rsidP="008774AA">
      <w:pPr>
        <w:pStyle w:val="Nadpis6"/>
        <w:numPr>
          <w:ilvl w:val="0"/>
          <w:numId w:val="2"/>
        </w:numPr>
        <w:tabs>
          <w:tab w:val="left" w:pos="708"/>
        </w:tabs>
        <w:ind w:left="567" w:hanging="567"/>
        <w:rPr>
          <w:b w:val="0"/>
          <w:bCs w:val="0"/>
          <w:caps w:val="0"/>
          <w:sz w:val="36"/>
          <w:szCs w:val="36"/>
          <w:u w:val="none"/>
        </w:rPr>
      </w:pPr>
      <w:r w:rsidRPr="00E96C75">
        <w:rPr>
          <w:b w:val="0"/>
          <w:bCs w:val="0"/>
          <w:caps w:val="0"/>
          <w:sz w:val="36"/>
          <w:szCs w:val="36"/>
          <w:u w:val="none"/>
        </w:rPr>
        <w:t xml:space="preserve">bere na vědomí </w:t>
      </w:r>
    </w:p>
    <w:p w:rsidR="008774AA" w:rsidRPr="00E96C75" w:rsidRDefault="009F5991" w:rsidP="009F5991">
      <w:pPr>
        <w:ind w:left="708"/>
        <w:jc w:val="both"/>
        <w:textAlignment w:val="baseline"/>
        <w:rPr>
          <w:sz w:val="24"/>
        </w:rPr>
      </w:pPr>
      <w:r w:rsidRPr="00E96C75">
        <w:rPr>
          <w:sz w:val="24"/>
          <w:szCs w:val="24"/>
        </w:rPr>
        <w:t xml:space="preserve">výsledky uskutečněné kontroly výkonu samostatné působnosti provedené u městské části Praha 10 na základě § 113 odst. 2 zákona č. 131/2000 Sb., o hlavním městě Praze, ve znění pozdějších předpisů, v oblasti činností vykonávaných </w:t>
      </w:r>
      <w:r w:rsidR="00E42ABF">
        <w:rPr>
          <w:sz w:val="24"/>
          <w:szCs w:val="24"/>
        </w:rPr>
        <w:br/>
      </w:r>
      <w:r w:rsidRPr="00E96C75">
        <w:rPr>
          <w:sz w:val="24"/>
          <w:szCs w:val="24"/>
        </w:rPr>
        <w:t>podle zákona č. 106/1999 Sb., o svobodném přístupu k informacím, ve znění pozdějších předpisů, a informace o způsobu, jakým došlo k nápravě kontrolou zjištěných nedostatků a k zamezení jejich opakování</w:t>
      </w:r>
    </w:p>
    <w:p w:rsidR="008774AA" w:rsidRPr="00E96C75" w:rsidRDefault="008774AA" w:rsidP="00EA3BF5">
      <w:pPr>
        <w:pStyle w:val="Nadpis6"/>
        <w:numPr>
          <w:ilvl w:val="0"/>
          <w:numId w:val="0"/>
        </w:numPr>
        <w:tabs>
          <w:tab w:val="left" w:pos="708"/>
        </w:tabs>
        <w:rPr>
          <w:b w:val="0"/>
          <w:bCs w:val="0"/>
          <w:caps w:val="0"/>
          <w:sz w:val="36"/>
          <w:szCs w:val="36"/>
          <w:u w:val="none"/>
        </w:rPr>
      </w:pPr>
    </w:p>
    <w:p w:rsidR="008774AA" w:rsidRDefault="008774AA" w:rsidP="008774AA">
      <w:pPr>
        <w:keepLines/>
        <w:spacing w:line="240" w:lineRule="atLeast"/>
        <w:rPr>
          <w:sz w:val="36"/>
        </w:rPr>
      </w:pPr>
    </w:p>
    <w:p w:rsidR="006E5D13" w:rsidRDefault="006E5D13" w:rsidP="008774AA">
      <w:pPr>
        <w:keepLines/>
        <w:spacing w:line="240" w:lineRule="atLeast"/>
        <w:rPr>
          <w:sz w:val="36"/>
        </w:rPr>
      </w:pPr>
    </w:p>
    <w:p w:rsidR="006E5D13" w:rsidRDefault="006E5D13" w:rsidP="008774AA">
      <w:pPr>
        <w:keepLines/>
        <w:spacing w:line="240" w:lineRule="atLeast"/>
        <w:rPr>
          <w:sz w:val="36"/>
        </w:rPr>
      </w:pPr>
    </w:p>
    <w:p w:rsidR="006E5D13" w:rsidRPr="00E96C75" w:rsidRDefault="006E5D13" w:rsidP="008774AA">
      <w:pPr>
        <w:keepLines/>
        <w:spacing w:line="240" w:lineRule="atLeast"/>
        <w:rPr>
          <w:bCs/>
          <w:sz w:val="24"/>
          <w:szCs w:val="24"/>
        </w:rPr>
      </w:pPr>
    </w:p>
    <w:p w:rsidR="008774AA" w:rsidRPr="00E96C75" w:rsidRDefault="008774AA" w:rsidP="008774AA">
      <w:pPr>
        <w:keepLines/>
        <w:spacing w:line="240" w:lineRule="atLeast"/>
        <w:rPr>
          <w:rFonts w:ascii="Arial" w:hAnsi="Arial" w:cs="Arial"/>
          <w:bCs/>
          <w:sz w:val="22"/>
          <w:szCs w:val="22"/>
        </w:rPr>
      </w:pPr>
    </w:p>
    <w:p w:rsidR="008774AA" w:rsidRDefault="008774AA" w:rsidP="008774AA">
      <w:pPr>
        <w:keepLines/>
        <w:spacing w:line="240" w:lineRule="atLeast"/>
        <w:rPr>
          <w:rFonts w:ascii="Arial" w:hAnsi="Arial" w:cs="Arial"/>
          <w:b/>
          <w:bCs/>
          <w:sz w:val="22"/>
          <w:szCs w:val="22"/>
        </w:rPr>
      </w:pPr>
    </w:p>
    <w:p w:rsidR="0011163F" w:rsidRDefault="0011163F" w:rsidP="008774AA">
      <w:pPr>
        <w:keepLines/>
        <w:spacing w:line="240" w:lineRule="atLeast"/>
        <w:rPr>
          <w:rFonts w:ascii="Arial" w:hAnsi="Arial" w:cs="Arial"/>
          <w:b/>
          <w:bCs/>
          <w:sz w:val="22"/>
          <w:szCs w:val="22"/>
        </w:rPr>
      </w:pPr>
    </w:p>
    <w:p w:rsidR="0011163F" w:rsidRDefault="0011163F" w:rsidP="008774AA">
      <w:pPr>
        <w:keepLines/>
        <w:spacing w:line="240" w:lineRule="atLeast"/>
        <w:rPr>
          <w:rFonts w:ascii="Arial" w:hAnsi="Arial" w:cs="Arial"/>
          <w:b/>
          <w:bCs/>
          <w:sz w:val="22"/>
          <w:szCs w:val="22"/>
        </w:rPr>
      </w:pPr>
    </w:p>
    <w:p w:rsidR="0011163F" w:rsidRPr="00E96C75" w:rsidRDefault="0011163F" w:rsidP="008774AA">
      <w:pPr>
        <w:keepLines/>
        <w:spacing w:line="240" w:lineRule="atLeast"/>
        <w:rPr>
          <w:rFonts w:ascii="Arial" w:hAnsi="Arial" w:cs="Arial"/>
          <w:b/>
          <w:bCs/>
          <w:sz w:val="22"/>
          <w:szCs w:val="22"/>
        </w:rPr>
      </w:pPr>
    </w:p>
    <w:p w:rsidR="008774AA" w:rsidRPr="00E96C75" w:rsidRDefault="008774AA" w:rsidP="008774AA">
      <w:pPr>
        <w:jc w:val="both"/>
        <w:rPr>
          <w:sz w:val="24"/>
          <w:szCs w:val="24"/>
        </w:rPr>
      </w:pPr>
    </w:p>
    <w:p w:rsidR="008774AA" w:rsidRPr="00E96C75" w:rsidRDefault="008774AA" w:rsidP="008774AA">
      <w:pPr>
        <w:jc w:val="both"/>
        <w:rPr>
          <w:sz w:val="24"/>
          <w:szCs w:val="24"/>
        </w:rPr>
      </w:pPr>
    </w:p>
    <w:p w:rsidR="00184F85" w:rsidRPr="00E96C75" w:rsidRDefault="00AA7F05" w:rsidP="00184F85">
      <w:pPr>
        <w:rPr>
          <w:sz w:val="24"/>
          <w:szCs w:val="24"/>
        </w:rPr>
      </w:pPr>
      <w:r>
        <w:rPr>
          <w:sz w:val="24"/>
          <w:szCs w:val="24"/>
        </w:rPr>
        <w:t>Předkladatel:</w:t>
      </w:r>
      <w:r>
        <w:rPr>
          <w:sz w:val="24"/>
          <w:szCs w:val="24"/>
        </w:rPr>
        <w:tab/>
      </w:r>
      <w:r w:rsidR="00184F85">
        <w:rPr>
          <w:sz w:val="24"/>
          <w:szCs w:val="24"/>
        </w:rPr>
        <w:t>Ing. Martin Slavík, tajemník ÚMČ Praha 10</w:t>
      </w:r>
    </w:p>
    <w:p w:rsidR="008774AA" w:rsidRPr="00E96C75" w:rsidRDefault="008774AA" w:rsidP="008774AA">
      <w:pPr>
        <w:jc w:val="both"/>
        <w:rPr>
          <w:b/>
          <w:sz w:val="24"/>
          <w:szCs w:val="24"/>
          <w:u w:val="single"/>
        </w:rPr>
      </w:pPr>
      <w:r w:rsidRPr="00E96C75">
        <w:rPr>
          <w:sz w:val="24"/>
          <w:szCs w:val="24"/>
        </w:rPr>
        <w:t>Číslo tisku:</w:t>
      </w:r>
      <w:r w:rsidRPr="00E96C75">
        <w:rPr>
          <w:sz w:val="24"/>
          <w:szCs w:val="24"/>
        </w:rPr>
        <w:tab/>
      </w:r>
      <w:r w:rsidR="00BB7467" w:rsidRPr="00BB7467">
        <w:rPr>
          <w:sz w:val="24"/>
          <w:szCs w:val="24"/>
        </w:rPr>
        <w:t>P10-</w:t>
      </w:r>
      <w:r w:rsidR="006E5D13">
        <w:rPr>
          <w:sz w:val="24"/>
          <w:szCs w:val="24"/>
        </w:rPr>
        <w:t>128822/2018</w:t>
      </w:r>
      <w:r w:rsidRPr="00E96C75">
        <w:rPr>
          <w:b/>
          <w:sz w:val="24"/>
          <w:szCs w:val="24"/>
          <w:u w:val="single"/>
        </w:rPr>
        <w:br w:type="page"/>
      </w:r>
    </w:p>
    <w:p w:rsidR="008774AA" w:rsidRPr="00E96C75" w:rsidRDefault="008774AA" w:rsidP="008774AA">
      <w:pPr>
        <w:jc w:val="center"/>
        <w:rPr>
          <w:b/>
          <w:sz w:val="24"/>
          <w:szCs w:val="24"/>
          <w:u w:val="single"/>
        </w:rPr>
      </w:pPr>
      <w:r w:rsidRPr="00E96C75">
        <w:rPr>
          <w:b/>
          <w:sz w:val="24"/>
          <w:szCs w:val="24"/>
          <w:u w:val="single"/>
        </w:rPr>
        <w:lastRenderedPageBreak/>
        <w:t>Důvodová zpráva</w:t>
      </w:r>
    </w:p>
    <w:p w:rsidR="008774AA" w:rsidRPr="00E96C75" w:rsidRDefault="008774AA" w:rsidP="008774AA">
      <w:pPr>
        <w:rPr>
          <w:sz w:val="24"/>
          <w:szCs w:val="24"/>
        </w:rPr>
      </w:pPr>
    </w:p>
    <w:p w:rsidR="008774AA" w:rsidRPr="00E96C75" w:rsidRDefault="00E46EE6" w:rsidP="00E46EE6">
      <w:pPr>
        <w:spacing w:line="276" w:lineRule="auto"/>
        <w:jc w:val="both"/>
        <w:rPr>
          <w:sz w:val="24"/>
          <w:szCs w:val="24"/>
        </w:rPr>
      </w:pPr>
      <w:r w:rsidRPr="00E96C75">
        <w:rPr>
          <w:sz w:val="24"/>
          <w:szCs w:val="24"/>
        </w:rPr>
        <w:t xml:space="preserve">Dne 3. 5. 2018 byla doručením oznámení o zahájení kontroly ve smyslu </w:t>
      </w:r>
      <w:r w:rsidRPr="00E96C75">
        <w:rPr>
          <w:sz w:val="24"/>
          <w:szCs w:val="24"/>
        </w:rPr>
        <w:br/>
        <w:t xml:space="preserve">§ 5 odst. 2 zákona č. 255/2012 Sb., o kontrole (kontrolní řád), ve znění pozdějších předpisů </w:t>
      </w:r>
      <w:r w:rsidRPr="00E96C75">
        <w:rPr>
          <w:sz w:val="24"/>
          <w:szCs w:val="24"/>
        </w:rPr>
        <w:br/>
        <w:t xml:space="preserve">(dále jen ,,KŘ“) ve spojení s ustanovením § 113 odst. 2 zákona č. 131/2000 Sb., </w:t>
      </w:r>
      <w:r w:rsidR="00E42ABF">
        <w:rPr>
          <w:sz w:val="24"/>
          <w:szCs w:val="24"/>
        </w:rPr>
        <w:br/>
      </w:r>
      <w:r w:rsidRPr="00E96C75">
        <w:rPr>
          <w:sz w:val="24"/>
          <w:szCs w:val="24"/>
        </w:rPr>
        <w:t xml:space="preserve">o hlavním městě Praze, ve znění pozdějších předpisů (dále jen ,,ZoHMP“), u městské části Praha 10 (dále jen „MČ Praha 10“) zahájena ze strany Magistrátu hl. m. Prahy kontrola výkonu samostatné působnosti v oblasti činností vykonávaných podle zákona č. 106/1999 Sb., </w:t>
      </w:r>
      <w:r w:rsidR="00E42ABF">
        <w:rPr>
          <w:sz w:val="24"/>
          <w:szCs w:val="24"/>
        </w:rPr>
        <w:br/>
      </w:r>
      <w:r w:rsidRPr="00E96C75">
        <w:rPr>
          <w:sz w:val="24"/>
          <w:szCs w:val="24"/>
        </w:rPr>
        <w:t xml:space="preserve">o svobodném přístupu k informacím, ve znění pozdějších předpisů (dále jen ,,InfZ“). Předmětem kontroly, která probíhala na místě, tj. v sídle Úřadu městské části Praha 10 </w:t>
      </w:r>
      <w:r w:rsidR="00E42ABF">
        <w:rPr>
          <w:sz w:val="24"/>
          <w:szCs w:val="24"/>
        </w:rPr>
        <w:br/>
      </w:r>
      <w:r w:rsidRPr="00E96C75">
        <w:rPr>
          <w:sz w:val="24"/>
          <w:szCs w:val="24"/>
        </w:rPr>
        <w:t xml:space="preserve">(dále jen ,,ÚMČ Praha 10“) ve dnech 15. a 16. 5. 2018, bylo dodržování ustanovení </w:t>
      </w:r>
      <w:r w:rsidR="00E42ABF">
        <w:rPr>
          <w:sz w:val="24"/>
          <w:szCs w:val="24"/>
        </w:rPr>
        <w:br/>
      </w:r>
      <w:r w:rsidRPr="00E96C75">
        <w:rPr>
          <w:sz w:val="24"/>
          <w:szCs w:val="24"/>
        </w:rPr>
        <w:t>§ 5, § 14 až § 1</w:t>
      </w:r>
      <w:bookmarkStart w:id="0" w:name="_GoBack"/>
      <w:r w:rsidRPr="00E96C75">
        <w:rPr>
          <w:sz w:val="24"/>
          <w:szCs w:val="24"/>
        </w:rPr>
        <w:t>7</w:t>
      </w:r>
      <w:bookmarkEnd w:id="0"/>
      <w:r w:rsidRPr="00E96C75">
        <w:rPr>
          <w:sz w:val="24"/>
          <w:szCs w:val="24"/>
        </w:rPr>
        <w:t xml:space="preserve"> a § 18 InfZ při výkonu samostatné působnosti svěřené orgánům městské části Praha 10. V rámci kontroly byly předloženy veškeré písemnosti vztahujíc</w:t>
      </w:r>
      <w:r w:rsidR="00E42ABF">
        <w:rPr>
          <w:sz w:val="24"/>
          <w:szCs w:val="24"/>
        </w:rPr>
        <w:t xml:space="preserve">í se </w:t>
      </w:r>
      <w:r w:rsidR="00E42ABF">
        <w:rPr>
          <w:sz w:val="24"/>
          <w:szCs w:val="24"/>
        </w:rPr>
        <w:br/>
        <w:t xml:space="preserve">ke kontrolovanému období, </w:t>
      </w:r>
      <w:r w:rsidRPr="00E96C75">
        <w:rPr>
          <w:sz w:val="24"/>
          <w:szCs w:val="24"/>
        </w:rPr>
        <w:t xml:space="preserve">tj. od 1. 1. 2015 do 31. 12. 2017. Ze strany MČ Praha 10 jakožto kontrolované osoby byla kontrolní skupině během kontroly na místě i po ní poskytnuta veškerá potřebná součinnost. Dne 11. 9. 2018 byl skrze podatelnu ÚMČ Praha 10 doručen protokol </w:t>
      </w:r>
      <w:r w:rsidR="00E42ABF">
        <w:rPr>
          <w:sz w:val="24"/>
          <w:szCs w:val="24"/>
        </w:rPr>
        <w:br/>
      </w:r>
      <w:r w:rsidRPr="00E96C75">
        <w:rPr>
          <w:sz w:val="24"/>
          <w:szCs w:val="24"/>
        </w:rPr>
        <w:t xml:space="preserve">o kontrole ze dne 4. 9. 2018, č. j.: MHMP 1124214/2018, sp. zn.: S-MHMP 696009/2018. </w:t>
      </w:r>
      <w:r w:rsidR="00E42ABF">
        <w:rPr>
          <w:sz w:val="24"/>
          <w:szCs w:val="24"/>
        </w:rPr>
        <w:br/>
      </w:r>
      <w:r w:rsidRPr="00E96C75">
        <w:rPr>
          <w:sz w:val="24"/>
          <w:szCs w:val="24"/>
        </w:rPr>
        <w:t xml:space="preserve">Ze strany kontrolní skupiny bylo v předmětném protokolu na několika místech konstatováno porušení ustanovení InfZ. MČ Praha 10 jakožto kontrolovaná osoba podala v zákonné lhůtě námitky, které směřovaly vůči jednotlivým kontrolním zjištěním (§ 13 KŘ). </w:t>
      </w:r>
      <w:r w:rsidR="00E42ABF">
        <w:rPr>
          <w:sz w:val="24"/>
          <w:szCs w:val="24"/>
        </w:rPr>
        <w:br/>
      </w:r>
      <w:r w:rsidRPr="00E96C75">
        <w:rPr>
          <w:sz w:val="24"/>
          <w:szCs w:val="24"/>
        </w:rPr>
        <w:t xml:space="preserve">Námitky byly Magistrátu hl. m. Prahy doručeny dne 26. 9. 2018. Dne 25. 10. 2018 byl </w:t>
      </w:r>
      <w:r w:rsidR="00E42ABF">
        <w:rPr>
          <w:sz w:val="24"/>
          <w:szCs w:val="24"/>
        </w:rPr>
        <w:br/>
      </w:r>
      <w:r w:rsidRPr="00E96C75">
        <w:rPr>
          <w:sz w:val="24"/>
          <w:szCs w:val="24"/>
        </w:rPr>
        <w:t xml:space="preserve">na podatelnu </w:t>
      </w:r>
      <w:r w:rsidR="00E42ABF">
        <w:rPr>
          <w:sz w:val="24"/>
          <w:szCs w:val="24"/>
        </w:rPr>
        <w:t xml:space="preserve">ÚMČ Praha 10 </w:t>
      </w:r>
      <w:r w:rsidRPr="00E96C75">
        <w:rPr>
          <w:sz w:val="24"/>
          <w:szCs w:val="24"/>
        </w:rPr>
        <w:t>doručen přípis, kterým byly námitky ve smyslu § 14 odst. 2 KŘ ze strany nadřízené osoby kontrolujícího zamítnuty. Ve smyslu § 18 písm. b) KŘ tak byla dnem doručení vyřízení námitek kontrola ukončena. Po ukončení kontroly navazují na tento proces další povinnosti dle</w:t>
      </w:r>
      <w:r w:rsidR="00E42ABF">
        <w:rPr>
          <w:sz w:val="24"/>
          <w:szCs w:val="24"/>
        </w:rPr>
        <w:t xml:space="preserve"> ZoHMP, a to vůči Zastupitelstvu</w:t>
      </w:r>
      <w:r w:rsidRPr="00E96C75">
        <w:rPr>
          <w:sz w:val="24"/>
          <w:szCs w:val="24"/>
        </w:rPr>
        <w:t xml:space="preserve"> MČ Praha 10. </w:t>
      </w:r>
    </w:p>
    <w:p w:rsidR="00E46EE6" w:rsidRPr="00E96C75" w:rsidRDefault="00E46EE6" w:rsidP="00E46EE6">
      <w:pPr>
        <w:spacing w:line="276" w:lineRule="auto"/>
        <w:jc w:val="both"/>
      </w:pPr>
    </w:p>
    <w:p w:rsidR="008774AA" w:rsidRPr="006F2D9B" w:rsidRDefault="00E46EE6" w:rsidP="003E6E1E">
      <w:pPr>
        <w:spacing w:line="276" w:lineRule="auto"/>
        <w:jc w:val="both"/>
      </w:pPr>
      <w:r w:rsidRPr="00E96C75">
        <w:rPr>
          <w:sz w:val="24"/>
          <w:szCs w:val="24"/>
        </w:rPr>
        <w:t xml:space="preserve">Ustanovení § 114 odst. 2 ZoHMP stanovuje, že </w:t>
      </w:r>
      <w:r w:rsidRPr="00E96C75">
        <w:rPr>
          <w:i/>
          <w:sz w:val="24"/>
          <w:szCs w:val="24"/>
        </w:rPr>
        <w:t xml:space="preserve">,,Primátor hlavního města Prahy, popřípadě jím pověřený zástupce, nebo starosta městské části, popřípadě jím pověřený zástupce, na nejbližším zasedání zastupitelstva hlavního města Prahy nebo městské části konaném po ukončení kontroly seznámí zastupitelstvo hlavního města Prahy nebo městské části s výsledky uskutečněné kontroly“. </w:t>
      </w:r>
      <w:r w:rsidRPr="00E96C75">
        <w:rPr>
          <w:sz w:val="24"/>
          <w:szCs w:val="24"/>
        </w:rPr>
        <w:t xml:space="preserve">Ustanovení § 114 odst. 3 ZoHMP dále stanovuje, že </w:t>
      </w:r>
      <w:r w:rsidRPr="00E96C75">
        <w:rPr>
          <w:i/>
          <w:sz w:val="24"/>
          <w:szCs w:val="24"/>
        </w:rPr>
        <w:t xml:space="preserve">,,V případě, že byl kontrolou shledán nezákonný postup hlavního města Prahy nebo městské části, předloží primátor hlavního města Prahy, popřípadě jím pověřený zástupce, nebo starosta městské části, popřípadě jím pověřený zástupce, spolu se seznámením s výsledky uskutečněné kontroly zastupitelstvu hlavního města Prahy nebo městské části též návrh opatření k nápravě kontrolou zjištěných nedostatků a k zamezení jejich opakování, popřípadě jej seznámí se způsobem, jakým se tak již stalo. Informace o jednání zastupitelstva hlavního města Prahy nebo městské části v této věci včetně návrhu opatření k nápravě, popřípadě sdělení o způsobu nápravy, hlavní město Praha nebo městská část neprodleně vyvěsí na úřední desce Magistrátu nebo úřadu městské části po dobu nejméně 15 dnů. Současně tuto informaci zašle hlavní město Praha ministerstvu, městská část Magistrátu“. </w:t>
      </w:r>
      <w:r w:rsidRPr="00E96C75">
        <w:rPr>
          <w:sz w:val="24"/>
          <w:szCs w:val="24"/>
        </w:rPr>
        <w:t xml:space="preserve">Z ustanovení § 114 odst. 4 ZoHMP konečně vyplývá, že MČ Praha 10 je povinna zajistit nápravu nedostatků zjištěných kontrolou. </w:t>
      </w:r>
      <w:r w:rsidR="00E42ABF">
        <w:rPr>
          <w:sz w:val="24"/>
          <w:szCs w:val="24"/>
        </w:rPr>
        <w:br/>
      </w:r>
      <w:r w:rsidRPr="00E96C75">
        <w:rPr>
          <w:sz w:val="24"/>
          <w:szCs w:val="24"/>
        </w:rPr>
        <w:t xml:space="preserve">Výsledky uskutečněné kontroly, včetně </w:t>
      </w:r>
      <w:r w:rsidR="00E96C75" w:rsidRPr="00E96C75">
        <w:rPr>
          <w:sz w:val="24"/>
          <w:szCs w:val="24"/>
        </w:rPr>
        <w:t>přijatých opatření jsou uvedeny v</w:t>
      </w:r>
      <w:r w:rsidR="001C7164">
        <w:rPr>
          <w:sz w:val="24"/>
          <w:szCs w:val="24"/>
        </w:rPr>
        <w:t> </w:t>
      </w:r>
      <w:r w:rsidR="00E96C75" w:rsidRPr="00E96C75">
        <w:rPr>
          <w:sz w:val="24"/>
          <w:szCs w:val="24"/>
        </w:rPr>
        <w:t>příloze</w:t>
      </w:r>
      <w:r w:rsidR="001C7164">
        <w:rPr>
          <w:sz w:val="24"/>
          <w:szCs w:val="24"/>
        </w:rPr>
        <w:t xml:space="preserve"> č. 2</w:t>
      </w:r>
      <w:r w:rsidR="003E6E1E">
        <w:rPr>
          <w:sz w:val="24"/>
          <w:szCs w:val="24"/>
        </w:rPr>
        <w:t xml:space="preserve"> tohoto materiálu.</w:t>
      </w:r>
    </w:p>
    <w:sectPr w:rsidR="008774AA" w:rsidRPr="006F2D9B" w:rsidSect="003E6E1E">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23" w:rsidRDefault="00E82F23" w:rsidP="00EB1AB6">
      <w:r>
        <w:separator/>
      </w:r>
    </w:p>
  </w:endnote>
  <w:endnote w:type="continuationSeparator" w:id="0">
    <w:p w:rsidR="00E82F23" w:rsidRDefault="00E82F23" w:rsidP="00EB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815530"/>
      <w:docPartObj>
        <w:docPartGallery w:val="Page Numbers (Bottom of Page)"/>
        <w:docPartUnique/>
      </w:docPartObj>
    </w:sdtPr>
    <w:sdtEndPr/>
    <w:sdtContent>
      <w:p w:rsidR="000D69D2" w:rsidRDefault="000D69D2">
        <w:pPr>
          <w:pStyle w:val="Zpat"/>
          <w:jc w:val="center"/>
        </w:pPr>
        <w:r>
          <w:fldChar w:fldCharType="begin"/>
        </w:r>
        <w:r>
          <w:instrText>PAGE   \* MERGEFORMAT</w:instrText>
        </w:r>
        <w:r>
          <w:fldChar w:fldCharType="separate"/>
        </w:r>
        <w:r w:rsidR="002E785C">
          <w:rPr>
            <w:noProof/>
          </w:rPr>
          <w:t>3</w:t>
        </w:r>
        <w:r>
          <w:fldChar w:fldCharType="end"/>
        </w:r>
      </w:p>
    </w:sdtContent>
  </w:sdt>
  <w:p w:rsidR="000D69D2" w:rsidRDefault="000D69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23" w:rsidRDefault="00E82F23" w:rsidP="00EB1AB6">
      <w:r>
        <w:separator/>
      </w:r>
    </w:p>
  </w:footnote>
  <w:footnote w:type="continuationSeparator" w:id="0">
    <w:p w:rsidR="00E82F23" w:rsidRDefault="00E82F23" w:rsidP="00EB1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42D" w:rsidRPr="00012F36" w:rsidRDefault="000D69D2" w:rsidP="003E6E1E">
    <w:pPr>
      <w:pStyle w:val="Zhlav"/>
      <w:rPr>
        <w:sz w:val="24"/>
        <w:szCs w:val="24"/>
      </w:rPr>
    </w:pPr>
    <w:r>
      <w:t xml:space="preserve">                                                                                                                        </w:t>
    </w:r>
    <w:r w:rsidR="00012F36">
      <w:t xml:space="preserve">                        </w:t>
    </w:r>
    <w:r w:rsidRPr="00012F36">
      <w:rPr>
        <w:sz w:val="24"/>
        <w:szCs w:val="24"/>
      </w:rPr>
      <w:t>P10-128822/2018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2BD"/>
    <w:multiLevelType w:val="hybridMultilevel"/>
    <w:tmpl w:val="51EC4A2E"/>
    <w:lvl w:ilvl="0" w:tplc="B4A6BC74">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3097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D40E1A"/>
    <w:multiLevelType w:val="multilevel"/>
    <w:tmpl w:val="7D721832"/>
    <w:lvl w:ilvl="0">
      <w:start w:val="1"/>
      <w:numFmt w:val="upperRoman"/>
      <w:lvlText w:val="%1."/>
      <w:lvlJc w:val="left"/>
      <w:pPr>
        <w:ind w:left="720" w:hanging="720"/>
      </w:pPr>
    </w:lvl>
    <w:lvl w:ilvl="1">
      <w:start w:val="2"/>
      <w:numFmt w:val="decimal"/>
      <w:isLgl/>
      <w:lvlText w:val="%1.%2."/>
      <w:lvlJc w:val="left"/>
      <w:pPr>
        <w:ind w:left="1068" w:hanging="360"/>
      </w:pPr>
    </w:lvl>
    <w:lvl w:ilvl="2">
      <w:start w:val="1"/>
      <w:numFmt w:val="decimal"/>
      <w:isLgl/>
      <w:lvlText w:val="%1.%2.%3."/>
      <w:lvlJc w:val="left"/>
      <w:pPr>
        <w:ind w:left="2136" w:hanging="720"/>
      </w:pPr>
    </w:lvl>
    <w:lvl w:ilvl="3">
      <w:start w:val="1"/>
      <w:numFmt w:val="decimal"/>
      <w:isLgl/>
      <w:lvlText w:val="%1.%2.%3.%4."/>
      <w:lvlJc w:val="left"/>
      <w:pPr>
        <w:ind w:left="2844" w:hanging="720"/>
      </w:pPr>
    </w:lvl>
    <w:lvl w:ilvl="4">
      <w:start w:val="1"/>
      <w:numFmt w:val="decimal"/>
      <w:isLgl/>
      <w:lvlText w:val="%1.%2.%3.%4.%5."/>
      <w:lvlJc w:val="left"/>
      <w:pPr>
        <w:ind w:left="3912" w:hanging="1080"/>
      </w:pPr>
    </w:lvl>
    <w:lvl w:ilvl="5">
      <w:start w:val="1"/>
      <w:numFmt w:val="decimal"/>
      <w:isLgl/>
      <w:lvlText w:val="%1.%2.%3.%4.%5.%6."/>
      <w:lvlJc w:val="left"/>
      <w:pPr>
        <w:ind w:left="4620" w:hanging="1080"/>
      </w:pPr>
    </w:lvl>
    <w:lvl w:ilvl="6">
      <w:start w:val="1"/>
      <w:numFmt w:val="decimal"/>
      <w:isLgl/>
      <w:lvlText w:val="%1.%2.%3.%4.%5.%6.%7."/>
      <w:lvlJc w:val="left"/>
      <w:pPr>
        <w:ind w:left="5688" w:hanging="1440"/>
      </w:pPr>
    </w:lvl>
    <w:lvl w:ilvl="7">
      <w:start w:val="1"/>
      <w:numFmt w:val="decimal"/>
      <w:isLgl/>
      <w:lvlText w:val="%1.%2.%3.%4.%5.%6.%7.%8."/>
      <w:lvlJc w:val="left"/>
      <w:pPr>
        <w:ind w:left="6396" w:hanging="1440"/>
      </w:pPr>
    </w:lvl>
    <w:lvl w:ilvl="8">
      <w:start w:val="1"/>
      <w:numFmt w:val="decimal"/>
      <w:isLgl/>
      <w:lvlText w:val="%1.%2.%3.%4.%5.%6.%7.%8.%9."/>
      <w:lvlJc w:val="left"/>
      <w:pPr>
        <w:ind w:left="7464" w:hanging="1800"/>
      </w:pPr>
    </w:lvl>
  </w:abstractNum>
  <w:abstractNum w:abstractNumId="3" w15:restartNumberingAfterBreak="0">
    <w:nsid w:val="3B1C6DF5"/>
    <w:multiLevelType w:val="hybridMultilevel"/>
    <w:tmpl w:val="3132D3D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 w15:restartNumberingAfterBreak="0">
    <w:nsid w:val="424C0F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860D61"/>
    <w:multiLevelType w:val="hybridMultilevel"/>
    <w:tmpl w:val="3132D3D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6F6B288B"/>
    <w:multiLevelType w:val="multilevel"/>
    <w:tmpl w:val="2C3439F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7346190A"/>
    <w:multiLevelType w:val="multilevel"/>
    <w:tmpl w:val="09B84E2E"/>
    <w:lvl w:ilvl="0">
      <w:start w:val="5"/>
      <w:numFmt w:val="decimal"/>
      <w:pStyle w:val="Nadpis6"/>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B56745C"/>
    <w:multiLevelType w:val="multilevel"/>
    <w:tmpl w:val="7FB6CC5E"/>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num w:numId="1">
    <w:abstractNumId w:val="7"/>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AA"/>
    <w:rsid w:val="00012F36"/>
    <w:rsid w:val="00027711"/>
    <w:rsid w:val="000D69D2"/>
    <w:rsid w:val="0011163F"/>
    <w:rsid w:val="001322F7"/>
    <w:rsid w:val="00163542"/>
    <w:rsid w:val="00184F85"/>
    <w:rsid w:val="001A103B"/>
    <w:rsid w:val="001C1A7C"/>
    <w:rsid w:val="001C7164"/>
    <w:rsid w:val="0022523B"/>
    <w:rsid w:val="002516EF"/>
    <w:rsid w:val="0027098B"/>
    <w:rsid w:val="002E785C"/>
    <w:rsid w:val="003C41A6"/>
    <w:rsid w:val="003E6E1E"/>
    <w:rsid w:val="003E7297"/>
    <w:rsid w:val="00435852"/>
    <w:rsid w:val="0043724E"/>
    <w:rsid w:val="0056255C"/>
    <w:rsid w:val="005D22A5"/>
    <w:rsid w:val="006421B8"/>
    <w:rsid w:val="00660492"/>
    <w:rsid w:val="006E5D13"/>
    <w:rsid w:val="006F2D9B"/>
    <w:rsid w:val="00733AB4"/>
    <w:rsid w:val="007C757E"/>
    <w:rsid w:val="007F0F9C"/>
    <w:rsid w:val="0082102B"/>
    <w:rsid w:val="008254C7"/>
    <w:rsid w:val="008774AA"/>
    <w:rsid w:val="008B4353"/>
    <w:rsid w:val="009761FE"/>
    <w:rsid w:val="009F09BF"/>
    <w:rsid w:val="009F5991"/>
    <w:rsid w:val="00A23A5F"/>
    <w:rsid w:val="00AA7F05"/>
    <w:rsid w:val="00B445E0"/>
    <w:rsid w:val="00B46583"/>
    <w:rsid w:val="00B73EA5"/>
    <w:rsid w:val="00BB7467"/>
    <w:rsid w:val="00BC1B67"/>
    <w:rsid w:val="00C465A6"/>
    <w:rsid w:val="00C704A4"/>
    <w:rsid w:val="00C9231B"/>
    <w:rsid w:val="00D356BE"/>
    <w:rsid w:val="00D973C6"/>
    <w:rsid w:val="00E42ABF"/>
    <w:rsid w:val="00E46EE6"/>
    <w:rsid w:val="00E7264C"/>
    <w:rsid w:val="00E82F23"/>
    <w:rsid w:val="00E96C75"/>
    <w:rsid w:val="00EA08CD"/>
    <w:rsid w:val="00EA3BF5"/>
    <w:rsid w:val="00EB1AB6"/>
    <w:rsid w:val="00EC242D"/>
    <w:rsid w:val="00ED233D"/>
    <w:rsid w:val="00ED4F83"/>
    <w:rsid w:val="00EF2F9B"/>
    <w:rsid w:val="00F01733"/>
    <w:rsid w:val="00F82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19764711-DB0E-4A98-880D-8334180D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74AA"/>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6">
    <w:name w:val="heading 6"/>
    <w:basedOn w:val="Normln"/>
    <w:next w:val="Normln"/>
    <w:link w:val="Nadpis6Char"/>
    <w:unhideWhenUsed/>
    <w:qFormat/>
    <w:rsid w:val="008774AA"/>
    <w:pPr>
      <w:keepNext/>
      <w:numPr>
        <w:numId w:val="1"/>
      </w:numPr>
      <w:overflowPunct/>
      <w:autoSpaceDE/>
      <w:autoSpaceDN/>
      <w:adjustRightInd/>
      <w:jc w:val="both"/>
      <w:outlineLvl w:val="5"/>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8774AA"/>
    <w:rPr>
      <w:rFonts w:ascii="Times New Roman" w:eastAsia="Times New Roman" w:hAnsi="Times New Roman" w:cs="Times New Roman"/>
      <w:b/>
      <w:bCs/>
      <w:caps/>
      <w:sz w:val="24"/>
      <w:szCs w:val="24"/>
      <w:u w:val="single"/>
      <w:lang w:eastAsia="cs-CZ"/>
    </w:rPr>
  </w:style>
  <w:style w:type="paragraph" w:styleId="Prosttext">
    <w:name w:val="Plain Text"/>
    <w:basedOn w:val="Normln"/>
    <w:link w:val="ProsttextChar"/>
    <w:uiPriority w:val="99"/>
    <w:semiHidden/>
    <w:unhideWhenUsed/>
    <w:rsid w:val="008774AA"/>
    <w:pPr>
      <w:overflowPunct/>
      <w:autoSpaceDE/>
      <w:autoSpaceDN/>
      <w:adjustRightInd/>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8774AA"/>
    <w:rPr>
      <w:rFonts w:ascii="Calibri" w:hAnsi="Calibri" w:cs="Consolas"/>
      <w:szCs w:val="21"/>
    </w:rPr>
  </w:style>
  <w:style w:type="paragraph" w:styleId="Odstavecseseznamem">
    <w:name w:val="List Paragraph"/>
    <w:basedOn w:val="Normln"/>
    <w:uiPriority w:val="34"/>
    <w:qFormat/>
    <w:rsid w:val="008774AA"/>
    <w:pPr>
      <w:ind w:left="720"/>
      <w:contextualSpacing/>
    </w:pPr>
  </w:style>
  <w:style w:type="paragraph" w:styleId="Zhlav">
    <w:name w:val="header"/>
    <w:basedOn w:val="Normln"/>
    <w:link w:val="ZhlavChar"/>
    <w:uiPriority w:val="99"/>
    <w:unhideWhenUsed/>
    <w:rsid w:val="00EB1AB6"/>
    <w:pPr>
      <w:tabs>
        <w:tab w:val="center" w:pos="4536"/>
        <w:tab w:val="right" w:pos="9072"/>
      </w:tabs>
    </w:pPr>
  </w:style>
  <w:style w:type="character" w:customStyle="1" w:styleId="ZhlavChar">
    <w:name w:val="Záhlaví Char"/>
    <w:basedOn w:val="Standardnpsmoodstavce"/>
    <w:link w:val="Zhlav"/>
    <w:uiPriority w:val="99"/>
    <w:rsid w:val="00EB1AB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B1AB6"/>
    <w:pPr>
      <w:tabs>
        <w:tab w:val="center" w:pos="4536"/>
        <w:tab w:val="right" w:pos="9072"/>
      </w:tabs>
    </w:pPr>
  </w:style>
  <w:style w:type="character" w:customStyle="1" w:styleId="ZpatChar">
    <w:name w:val="Zápatí Char"/>
    <w:basedOn w:val="Standardnpsmoodstavce"/>
    <w:link w:val="Zpat"/>
    <w:uiPriority w:val="99"/>
    <w:rsid w:val="00EB1AB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625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255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5311">
      <w:bodyDiv w:val="1"/>
      <w:marLeft w:val="0"/>
      <w:marRight w:val="0"/>
      <w:marTop w:val="0"/>
      <w:marBottom w:val="0"/>
      <w:divBdr>
        <w:top w:val="none" w:sz="0" w:space="0" w:color="auto"/>
        <w:left w:val="none" w:sz="0" w:space="0" w:color="auto"/>
        <w:bottom w:val="none" w:sz="0" w:space="0" w:color="auto"/>
        <w:right w:val="none" w:sz="0" w:space="0" w:color="auto"/>
      </w:divBdr>
    </w:div>
    <w:div w:id="12503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91DD4-7EC9-4F55-A845-DBCAF4ED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5253</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Jurča Miloš Bc. (ÚMČ Praha 10)</dc:creator>
  <cp:keywords/>
  <dc:description/>
  <cp:lastModifiedBy>Vávrová Kateřina DiS. (ÚMČ Praha 10)</cp:lastModifiedBy>
  <cp:revision>2</cp:revision>
  <cp:lastPrinted>2018-11-29T13:26:00Z</cp:lastPrinted>
  <dcterms:created xsi:type="dcterms:W3CDTF">2018-11-30T13:23:00Z</dcterms:created>
  <dcterms:modified xsi:type="dcterms:W3CDTF">2018-11-30T13:23:00Z</dcterms:modified>
</cp:coreProperties>
</file>