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FDA" w:rsidRPr="00D55CA7" w:rsidRDefault="00806FDA" w:rsidP="00806FDA">
      <w:pPr>
        <w:jc w:val="center"/>
        <w:rPr>
          <w:sz w:val="28"/>
          <w:szCs w:val="28"/>
        </w:rPr>
      </w:pPr>
      <w:r w:rsidRPr="00D55CA7">
        <w:rPr>
          <w:sz w:val="28"/>
          <w:szCs w:val="28"/>
        </w:rPr>
        <w:t>Metodika</w:t>
      </w:r>
    </w:p>
    <w:p w:rsidR="00806FDA" w:rsidRPr="00540FD0" w:rsidRDefault="00806FDA" w:rsidP="00806FDA">
      <w:pPr>
        <w:jc w:val="center"/>
        <w:rPr>
          <w:sz w:val="24"/>
          <w:szCs w:val="24"/>
        </w:rPr>
      </w:pPr>
      <w:r w:rsidRPr="00540FD0">
        <w:rPr>
          <w:sz w:val="24"/>
          <w:szCs w:val="24"/>
        </w:rPr>
        <w:t>pro vyúčtování oceněného</w:t>
      </w:r>
      <w:r w:rsidRPr="009168EF">
        <w:rPr>
          <w:b/>
          <w:sz w:val="24"/>
          <w:szCs w:val="24"/>
        </w:rPr>
        <w:t xml:space="preserve"> </w:t>
      </w:r>
      <w:r w:rsidRPr="009168EF">
        <w:rPr>
          <w:sz w:val="24"/>
          <w:szCs w:val="24"/>
        </w:rPr>
        <w:t xml:space="preserve">projektu </w:t>
      </w:r>
      <w:r w:rsidRPr="00540FD0">
        <w:rPr>
          <w:sz w:val="24"/>
          <w:szCs w:val="24"/>
        </w:rPr>
        <w:t>výherce</w:t>
      </w:r>
    </w:p>
    <w:p w:rsidR="00806FDA" w:rsidRPr="009168EF" w:rsidRDefault="00806FDA" w:rsidP="00806FDA">
      <w:pPr>
        <w:jc w:val="center"/>
        <w:rPr>
          <w:sz w:val="24"/>
          <w:szCs w:val="24"/>
        </w:rPr>
      </w:pPr>
      <w:r w:rsidRPr="00540FD0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540FD0">
        <w:rPr>
          <w:sz w:val="24"/>
          <w:szCs w:val="24"/>
        </w:rPr>
        <w:t>soutěži</w:t>
      </w:r>
      <w:r w:rsidRPr="009168EF">
        <w:rPr>
          <w:sz w:val="24"/>
          <w:szCs w:val="24"/>
        </w:rPr>
        <w:t xml:space="preserve"> „</w:t>
      </w:r>
      <w:r w:rsidRPr="00A44398">
        <w:rPr>
          <w:sz w:val="24"/>
          <w:szCs w:val="24"/>
        </w:rPr>
        <w:t>Zásobník projektů - partnerství pro Prahu 10</w:t>
      </w:r>
      <w:r w:rsidRPr="009168EF">
        <w:rPr>
          <w:sz w:val="24"/>
          <w:szCs w:val="24"/>
        </w:rPr>
        <w:t>“</w:t>
      </w:r>
    </w:p>
    <w:p w:rsidR="00806FDA" w:rsidRDefault="00806FDA" w:rsidP="00806FDA">
      <w:pPr>
        <w:rPr>
          <w:sz w:val="24"/>
          <w:szCs w:val="24"/>
        </w:rPr>
      </w:pPr>
    </w:p>
    <w:p w:rsidR="00806FDA" w:rsidRDefault="00806FDA" w:rsidP="00806FDA">
      <w:pPr>
        <w:rPr>
          <w:sz w:val="24"/>
          <w:szCs w:val="24"/>
        </w:rPr>
      </w:pPr>
    </w:p>
    <w:p w:rsidR="00806FDA" w:rsidRPr="00DD7D7D" w:rsidRDefault="00806FDA" w:rsidP="00806FDA">
      <w:pPr>
        <w:rPr>
          <w:sz w:val="24"/>
          <w:szCs w:val="24"/>
        </w:rPr>
      </w:pPr>
    </w:p>
    <w:p w:rsidR="00806FDA" w:rsidRPr="00DD7D7D" w:rsidRDefault="00D47170" w:rsidP="005D366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Závěrečnou zprávu</w:t>
      </w:r>
      <w:r w:rsidR="005D366E">
        <w:rPr>
          <w:sz w:val="24"/>
          <w:szCs w:val="24"/>
        </w:rPr>
        <w:t xml:space="preserve">, </w:t>
      </w:r>
      <w:r w:rsidR="00806FDA">
        <w:rPr>
          <w:sz w:val="24"/>
          <w:szCs w:val="24"/>
        </w:rPr>
        <w:t>v</w:t>
      </w:r>
      <w:r w:rsidR="00806FDA" w:rsidRPr="00DD7D7D">
        <w:rPr>
          <w:sz w:val="24"/>
          <w:szCs w:val="24"/>
        </w:rPr>
        <w:t xml:space="preserve">yúčtování </w:t>
      </w:r>
      <w:r>
        <w:rPr>
          <w:sz w:val="24"/>
          <w:szCs w:val="24"/>
        </w:rPr>
        <w:t>a fotodokumentaci</w:t>
      </w:r>
      <w:r w:rsidR="005D366E">
        <w:rPr>
          <w:sz w:val="24"/>
          <w:szCs w:val="24"/>
        </w:rPr>
        <w:t xml:space="preserve"> </w:t>
      </w:r>
      <w:r w:rsidR="00806FDA" w:rsidRPr="002B2CBB">
        <w:rPr>
          <w:sz w:val="24"/>
          <w:szCs w:val="24"/>
        </w:rPr>
        <w:t>musí příjemce</w:t>
      </w:r>
      <w:r w:rsidR="00806FDA">
        <w:rPr>
          <w:sz w:val="24"/>
          <w:szCs w:val="24"/>
        </w:rPr>
        <w:t xml:space="preserve"> </w:t>
      </w:r>
      <w:r w:rsidR="00806FDA" w:rsidRPr="00DD7D7D">
        <w:rPr>
          <w:sz w:val="24"/>
          <w:szCs w:val="24"/>
        </w:rPr>
        <w:t>předlož</w:t>
      </w:r>
      <w:r w:rsidR="00806FDA">
        <w:rPr>
          <w:sz w:val="24"/>
          <w:szCs w:val="24"/>
        </w:rPr>
        <w:t>it</w:t>
      </w:r>
      <w:r w:rsidR="00806FDA" w:rsidRPr="00DD7D7D">
        <w:rPr>
          <w:sz w:val="24"/>
          <w:szCs w:val="24"/>
        </w:rPr>
        <w:t xml:space="preserve"> </w:t>
      </w:r>
      <w:r w:rsidR="00806FDA">
        <w:rPr>
          <w:sz w:val="24"/>
          <w:szCs w:val="24"/>
        </w:rPr>
        <w:t xml:space="preserve">poskytovateli </w:t>
      </w:r>
      <w:r w:rsidR="00806FDA" w:rsidRPr="00DD7D7D">
        <w:rPr>
          <w:sz w:val="24"/>
          <w:szCs w:val="24"/>
        </w:rPr>
        <w:t xml:space="preserve">nejpozději </w:t>
      </w:r>
      <w:r w:rsidR="00806FDA">
        <w:rPr>
          <w:sz w:val="24"/>
          <w:szCs w:val="24"/>
        </w:rPr>
        <w:t>do</w:t>
      </w:r>
      <w:r w:rsidR="00806FDA" w:rsidRPr="004D7D50">
        <w:rPr>
          <w:sz w:val="24"/>
          <w:szCs w:val="24"/>
        </w:rPr>
        <w:t xml:space="preserve"> </w:t>
      </w:r>
      <w:r w:rsidR="00806FDA">
        <w:rPr>
          <w:sz w:val="24"/>
          <w:szCs w:val="24"/>
        </w:rPr>
        <w:t>30 kalendářních dnů po skončení projektu, nejpozději však do 30. listopadu</w:t>
      </w:r>
      <w:r w:rsidR="00806FDA" w:rsidRPr="004D7D50">
        <w:rPr>
          <w:sz w:val="24"/>
          <w:szCs w:val="24"/>
        </w:rPr>
        <w:t xml:space="preserve"> 201</w:t>
      </w:r>
      <w:r w:rsidR="00806FDA">
        <w:rPr>
          <w:sz w:val="24"/>
          <w:szCs w:val="24"/>
        </w:rPr>
        <w:t>9, přičemž náklady dokládané účetními doklady příjemce musí být uznatelné ve smyslu Pravidel soutěže „</w:t>
      </w:r>
      <w:r w:rsidR="00806FDA" w:rsidRPr="00A44398">
        <w:rPr>
          <w:sz w:val="24"/>
          <w:szCs w:val="24"/>
        </w:rPr>
        <w:t>Zásobník projektů - partnerství pro Prahu 10</w:t>
      </w:r>
      <w:r w:rsidR="00806FDA" w:rsidRPr="00FC0A11">
        <w:rPr>
          <w:sz w:val="24"/>
          <w:szCs w:val="24"/>
        </w:rPr>
        <w:t>“</w:t>
      </w:r>
      <w:r w:rsidR="00806FDA">
        <w:rPr>
          <w:sz w:val="24"/>
          <w:szCs w:val="24"/>
        </w:rPr>
        <w:t xml:space="preserve"> (dále jen „uznatelné náklady“).</w:t>
      </w:r>
    </w:p>
    <w:p w:rsidR="00806FDA" w:rsidRPr="00DD7D7D" w:rsidRDefault="00806FDA" w:rsidP="00806FDA">
      <w:pPr>
        <w:ind w:left="360"/>
        <w:jc w:val="both"/>
        <w:rPr>
          <w:sz w:val="24"/>
          <w:szCs w:val="24"/>
        </w:rPr>
      </w:pPr>
    </w:p>
    <w:p w:rsidR="00806FDA" w:rsidRPr="00676B6A" w:rsidRDefault="00806FDA" w:rsidP="00806FDA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676B6A">
        <w:rPr>
          <w:color w:val="000000"/>
          <w:sz w:val="24"/>
          <w:szCs w:val="24"/>
        </w:rPr>
        <w:t>Vyúčtování musí příjemce zpracovat a poskytovateli předložit na oficiálním standardním formuláři označeném jako Vyúčtování oceněného projektu výherce v soutěži „</w:t>
      </w:r>
      <w:r w:rsidRPr="00A44398">
        <w:rPr>
          <w:sz w:val="24"/>
          <w:szCs w:val="24"/>
        </w:rPr>
        <w:t>Zásobník projektů - partnerství pro Prahu 10</w:t>
      </w:r>
      <w:r w:rsidRPr="00676B6A">
        <w:rPr>
          <w:color w:val="000000"/>
          <w:sz w:val="24"/>
          <w:szCs w:val="24"/>
        </w:rPr>
        <w:t xml:space="preserve">“ (dále jen „formulář“), vydaném městskou částí Praha 10. Formulář je pro zájemce k dispozici ke stažení na internetové adrese městské části Praha 10: </w:t>
      </w:r>
      <w:hyperlink r:id="rId7" w:history="1">
        <w:r w:rsidRPr="00676B6A">
          <w:rPr>
            <w:rStyle w:val="Hypertextovodkaz"/>
            <w:color w:val="000000"/>
            <w:sz w:val="24"/>
            <w:szCs w:val="24"/>
          </w:rPr>
          <w:t>www.praha10.cz</w:t>
        </w:r>
      </w:hyperlink>
      <w:r w:rsidRPr="00676B6A">
        <w:rPr>
          <w:color w:val="000000"/>
          <w:sz w:val="24"/>
          <w:szCs w:val="24"/>
        </w:rPr>
        <w:t xml:space="preserve"> </w:t>
      </w:r>
    </w:p>
    <w:p w:rsidR="00806FDA" w:rsidRPr="00676B6A" w:rsidRDefault="00806FDA" w:rsidP="00806FDA">
      <w:pPr>
        <w:overflowPunct/>
        <w:autoSpaceDE/>
        <w:autoSpaceDN/>
        <w:adjustRightInd/>
        <w:ind w:left="720"/>
        <w:jc w:val="both"/>
        <w:textAlignment w:val="auto"/>
        <w:rPr>
          <w:color w:val="000000"/>
          <w:sz w:val="24"/>
          <w:szCs w:val="24"/>
        </w:rPr>
      </w:pPr>
    </w:p>
    <w:p w:rsidR="00806FDA" w:rsidRDefault="00806FDA" w:rsidP="005D366E">
      <w:pPr>
        <w:numPr>
          <w:ilvl w:val="0"/>
          <w:numId w:val="1"/>
        </w:numPr>
        <w:tabs>
          <w:tab w:val="clear" w:pos="720"/>
          <w:tab w:val="num" w:pos="709"/>
        </w:tabs>
        <w:overflowPunct/>
        <w:autoSpaceDE/>
        <w:autoSpaceDN/>
        <w:adjustRightInd/>
        <w:ind w:left="709" w:hanging="283"/>
        <w:jc w:val="both"/>
        <w:textAlignment w:val="auto"/>
        <w:rPr>
          <w:color w:val="000000"/>
          <w:sz w:val="24"/>
          <w:szCs w:val="24"/>
        </w:rPr>
      </w:pPr>
      <w:r w:rsidRPr="00B870B3">
        <w:rPr>
          <w:color w:val="000000"/>
          <w:sz w:val="24"/>
          <w:szCs w:val="24"/>
        </w:rPr>
        <w:t>Vyúčtování musí obsahovat kopie účetních dokladů dokumentujících využití dotace (bankovní výpisy, pokladní výdajové doklady</w:t>
      </w:r>
      <w:r w:rsidR="00D47170">
        <w:rPr>
          <w:color w:val="000000"/>
          <w:sz w:val="24"/>
          <w:szCs w:val="24"/>
        </w:rPr>
        <w:t xml:space="preserve"> aj.</w:t>
      </w:r>
      <w:r w:rsidRPr="00B870B3">
        <w:rPr>
          <w:color w:val="000000"/>
          <w:sz w:val="24"/>
          <w:szCs w:val="24"/>
        </w:rPr>
        <w:t xml:space="preserve">). Současně musí příjemce poskytovateli za účelem kontroly předložit k nahlédnutí originály těchto účetních dokladů. Pokud oceněný projekt zahrnuje realizaci interaktivních prvků, </w:t>
      </w:r>
      <w:r w:rsidR="00D47170">
        <w:rPr>
          <w:color w:val="000000"/>
          <w:sz w:val="24"/>
          <w:szCs w:val="24"/>
        </w:rPr>
        <w:t xml:space="preserve">je </w:t>
      </w:r>
      <w:r w:rsidRPr="00B870B3">
        <w:rPr>
          <w:color w:val="000000"/>
          <w:sz w:val="24"/>
          <w:szCs w:val="24"/>
        </w:rPr>
        <w:t xml:space="preserve">příjemce povinen ve vyúčtování uvést rozpis cen za jednotlivé interaktivní prvky. </w:t>
      </w:r>
    </w:p>
    <w:p w:rsidR="00806FDA" w:rsidRDefault="00806FDA" w:rsidP="00806FDA">
      <w:pPr>
        <w:pStyle w:val="Odstavecseseznamem"/>
        <w:rPr>
          <w:color w:val="000000"/>
          <w:sz w:val="24"/>
          <w:szCs w:val="24"/>
        </w:rPr>
      </w:pPr>
    </w:p>
    <w:p w:rsidR="00806FDA" w:rsidRPr="00B870B3" w:rsidRDefault="00806FDA" w:rsidP="005D366E">
      <w:pPr>
        <w:numPr>
          <w:ilvl w:val="0"/>
          <w:numId w:val="1"/>
        </w:numPr>
        <w:tabs>
          <w:tab w:val="clear" w:pos="720"/>
          <w:tab w:val="num" w:pos="567"/>
        </w:tabs>
        <w:overflowPunct/>
        <w:autoSpaceDE/>
        <w:autoSpaceDN/>
        <w:adjustRightInd/>
        <w:ind w:left="709" w:hanging="283"/>
        <w:jc w:val="both"/>
        <w:textAlignment w:val="auto"/>
        <w:rPr>
          <w:color w:val="000000"/>
          <w:sz w:val="24"/>
          <w:szCs w:val="24"/>
        </w:rPr>
      </w:pPr>
      <w:r w:rsidRPr="00B870B3">
        <w:rPr>
          <w:color w:val="000000"/>
          <w:sz w:val="24"/>
          <w:szCs w:val="24"/>
        </w:rPr>
        <w:t>Všechny účetní doklady předložené příjemcem jako</w:t>
      </w:r>
      <w:r w:rsidR="005D366E">
        <w:rPr>
          <w:color w:val="000000"/>
          <w:sz w:val="24"/>
          <w:szCs w:val="24"/>
        </w:rPr>
        <w:t xml:space="preserve"> součást vyúčtování uznatelných </w:t>
      </w:r>
      <w:r w:rsidRPr="00B870B3">
        <w:rPr>
          <w:color w:val="000000"/>
          <w:sz w:val="24"/>
          <w:szCs w:val="24"/>
        </w:rPr>
        <w:t>nákladů musí splňovat náležitosti</w:t>
      </w:r>
      <w:r w:rsidRPr="00B870B3">
        <w:rPr>
          <w:sz w:val="24"/>
          <w:szCs w:val="24"/>
        </w:rPr>
        <w:t xml:space="preserve"> daňového dokladu podle zákona č. 235/2004 Sb., o dani z přidané hodnoty, v platném znění.</w:t>
      </w:r>
    </w:p>
    <w:p w:rsidR="00806FDA" w:rsidRPr="00DD7D7D" w:rsidRDefault="00806FDA" w:rsidP="00806FDA">
      <w:pPr>
        <w:rPr>
          <w:sz w:val="24"/>
          <w:szCs w:val="24"/>
        </w:rPr>
      </w:pPr>
    </w:p>
    <w:p w:rsidR="00806FDA" w:rsidRDefault="00806FDA" w:rsidP="00806FDA">
      <w:pPr>
        <w:jc w:val="both"/>
        <w:rPr>
          <w:sz w:val="24"/>
          <w:szCs w:val="24"/>
        </w:rPr>
      </w:pPr>
    </w:p>
    <w:p w:rsidR="00806FDA" w:rsidRDefault="00806FDA" w:rsidP="00806FDA">
      <w:pPr>
        <w:jc w:val="both"/>
        <w:rPr>
          <w:sz w:val="24"/>
          <w:szCs w:val="24"/>
        </w:rPr>
      </w:pPr>
    </w:p>
    <w:p w:rsidR="00806FDA" w:rsidRDefault="00806FDA" w:rsidP="00806FDA">
      <w:pPr>
        <w:jc w:val="both"/>
        <w:rPr>
          <w:sz w:val="24"/>
          <w:szCs w:val="24"/>
        </w:rPr>
      </w:pPr>
    </w:p>
    <w:p w:rsidR="00806FDA" w:rsidRDefault="00806FDA" w:rsidP="00806FDA">
      <w:pPr>
        <w:jc w:val="both"/>
        <w:rPr>
          <w:sz w:val="24"/>
          <w:szCs w:val="24"/>
        </w:rPr>
      </w:pPr>
    </w:p>
    <w:p w:rsidR="00806FDA" w:rsidRDefault="00806FDA" w:rsidP="00806FDA">
      <w:pPr>
        <w:jc w:val="both"/>
        <w:rPr>
          <w:sz w:val="24"/>
          <w:szCs w:val="24"/>
        </w:rPr>
      </w:pPr>
    </w:p>
    <w:p w:rsidR="00806FDA" w:rsidRDefault="00806FDA" w:rsidP="00806FDA">
      <w:pPr>
        <w:jc w:val="both"/>
        <w:rPr>
          <w:sz w:val="24"/>
          <w:szCs w:val="24"/>
        </w:rPr>
      </w:pPr>
    </w:p>
    <w:p w:rsidR="00806FDA" w:rsidRDefault="00806FDA" w:rsidP="00806FDA">
      <w:pPr>
        <w:jc w:val="both"/>
        <w:rPr>
          <w:sz w:val="24"/>
          <w:szCs w:val="24"/>
        </w:rPr>
      </w:pPr>
    </w:p>
    <w:p w:rsidR="00806FDA" w:rsidRDefault="00806FDA" w:rsidP="00806FDA">
      <w:pPr>
        <w:jc w:val="both"/>
        <w:rPr>
          <w:sz w:val="24"/>
          <w:szCs w:val="24"/>
        </w:rPr>
      </w:pPr>
    </w:p>
    <w:p w:rsidR="00806FDA" w:rsidRDefault="00806FDA" w:rsidP="00806FDA">
      <w:pPr>
        <w:jc w:val="both"/>
        <w:rPr>
          <w:sz w:val="24"/>
          <w:szCs w:val="24"/>
        </w:rPr>
      </w:pPr>
    </w:p>
    <w:p w:rsidR="00806FDA" w:rsidRDefault="00806FDA" w:rsidP="00806FDA">
      <w:pPr>
        <w:jc w:val="both"/>
        <w:rPr>
          <w:sz w:val="24"/>
          <w:szCs w:val="24"/>
        </w:rPr>
      </w:pPr>
    </w:p>
    <w:p w:rsidR="00806FDA" w:rsidRDefault="00806FDA" w:rsidP="00806FDA">
      <w:pPr>
        <w:jc w:val="both"/>
        <w:rPr>
          <w:sz w:val="24"/>
          <w:szCs w:val="24"/>
        </w:rPr>
      </w:pPr>
    </w:p>
    <w:p w:rsidR="00806FDA" w:rsidRDefault="00806FDA" w:rsidP="00806FDA">
      <w:pPr>
        <w:jc w:val="both"/>
        <w:rPr>
          <w:sz w:val="24"/>
          <w:szCs w:val="24"/>
        </w:rPr>
      </w:pPr>
    </w:p>
    <w:p w:rsidR="00806FDA" w:rsidRDefault="00806FDA" w:rsidP="00806FDA">
      <w:pPr>
        <w:jc w:val="both"/>
        <w:rPr>
          <w:sz w:val="24"/>
          <w:szCs w:val="24"/>
        </w:rPr>
      </w:pPr>
      <w:bookmarkStart w:id="0" w:name="_GoBack"/>
      <w:bookmarkEnd w:id="0"/>
    </w:p>
    <w:p w:rsidR="00806FDA" w:rsidRDefault="00806FDA" w:rsidP="00806FDA">
      <w:pPr>
        <w:jc w:val="both"/>
        <w:rPr>
          <w:sz w:val="24"/>
          <w:szCs w:val="24"/>
        </w:rPr>
      </w:pPr>
    </w:p>
    <w:p w:rsidR="00806FDA" w:rsidRPr="00764E7D" w:rsidRDefault="00806FDA" w:rsidP="00806FDA">
      <w:pPr>
        <w:jc w:val="both"/>
        <w:rPr>
          <w:sz w:val="24"/>
          <w:szCs w:val="24"/>
        </w:rPr>
      </w:pPr>
    </w:p>
    <w:p w:rsidR="00AB0A8C" w:rsidRDefault="00AB0A8C"/>
    <w:sectPr w:rsidR="00AB0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170" w:rsidRDefault="00D47170" w:rsidP="00D47170">
      <w:r>
        <w:separator/>
      </w:r>
    </w:p>
  </w:endnote>
  <w:endnote w:type="continuationSeparator" w:id="0">
    <w:p w:rsidR="00D47170" w:rsidRDefault="00D47170" w:rsidP="00D4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170" w:rsidRDefault="00D47170" w:rsidP="00D47170">
      <w:r>
        <w:separator/>
      </w:r>
    </w:p>
  </w:footnote>
  <w:footnote w:type="continuationSeparator" w:id="0">
    <w:p w:rsidR="00D47170" w:rsidRDefault="00D47170" w:rsidP="00D47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C48E2"/>
    <w:multiLevelType w:val="hybridMultilevel"/>
    <w:tmpl w:val="CBEA8A5E"/>
    <w:lvl w:ilvl="0" w:tplc="AF4EE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DA"/>
    <w:rsid w:val="003D3355"/>
    <w:rsid w:val="005D366E"/>
    <w:rsid w:val="00806FDA"/>
    <w:rsid w:val="00AB0A8C"/>
    <w:rsid w:val="00BE5D48"/>
    <w:rsid w:val="00D47170"/>
    <w:rsid w:val="00F7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FFF7E-D4C1-4A54-A786-4B6E7047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6F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06FD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806FDA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471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71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71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71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1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17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ha10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Peerová Michaela Mgr. (ÚMČ Praha 10)</dc:creator>
  <cp:keywords/>
  <dc:description/>
  <cp:lastModifiedBy>Peerová Michaela Mgr. (ÚMČ Praha 10)</cp:lastModifiedBy>
  <cp:revision>2</cp:revision>
  <cp:lastPrinted>2019-05-29T15:20:00Z</cp:lastPrinted>
  <dcterms:created xsi:type="dcterms:W3CDTF">2019-05-29T13:38:00Z</dcterms:created>
  <dcterms:modified xsi:type="dcterms:W3CDTF">2019-05-30T05:53:00Z</dcterms:modified>
</cp:coreProperties>
</file>