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5A2A" w:rsidRPr="00625A2A" w:rsidRDefault="00D009CA" w:rsidP="00625A2A">
      <w:pPr>
        <w:pStyle w:val="Nzev"/>
        <w:rPr>
          <w:rFonts w:ascii="Arial" w:hAnsi="Arial" w:cs="Arial"/>
          <w:caps/>
          <w:sz w:val="22"/>
          <w:szCs w:val="22"/>
        </w:rPr>
      </w:pPr>
      <w:r w:rsidRPr="00BF3528">
        <w:rPr>
          <w:rFonts w:ascii="Arial" w:hAnsi="Arial" w:cs="Arial"/>
          <w:caps/>
          <w:sz w:val="20"/>
          <w:szCs w:val="20"/>
        </w:rPr>
        <w:tab/>
      </w:r>
      <w:r w:rsidRPr="00BF3528">
        <w:rPr>
          <w:rFonts w:ascii="Arial" w:hAnsi="Arial" w:cs="Arial"/>
          <w:caps/>
          <w:sz w:val="22"/>
          <w:szCs w:val="22"/>
        </w:rPr>
        <w:tab/>
      </w:r>
      <w:r w:rsidRPr="00BF3528">
        <w:rPr>
          <w:rFonts w:ascii="Arial" w:hAnsi="Arial" w:cs="Arial"/>
          <w:caps/>
          <w:sz w:val="22"/>
          <w:szCs w:val="22"/>
        </w:rPr>
        <w:tab/>
      </w:r>
      <w:r w:rsidRPr="00BF3528">
        <w:rPr>
          <w:rFonts w:ascii="Arial" w:hAnsi="Arial" w:cs="Arial"/>
          <w:caps/>
          <w:sz w:val="22"/>
          <w:szCs w:val="22"/>
        </w:rPr>
        <w:tab/>
      </w:r>
      <w:r w:rsidRPr="00BF3528">
        <w:rPr>
          <w:rFonts w:ascii="Arial" w:hAnsi="Arial" w:cs="Arial"/>
          <w:caps/>
          <w:sz w:val="22"/>
          <w:szCs w:val="22"/>
        </w:rPr>
        <w:tab/>
      </w:r>
      <w:r w:rsidRPr="00BF3528">
        <w:rPr>
          <w:rFonts w:ascii="Arial" w:hAnsi="Arial" w:cs="Arial"/>
          <w:caps/>
          <w:sz w:val="22"/>
          <w:szCs w:val="22"/>
        </w:rPr>
        <w:tab/>
      </w:r>
      <w:r w:rsidRPr="00BF3528">
        <w:rPr>
          <w:rFonts w:ascii="Arial" w:hAnsi="Arial" w:cs="Arial"/>
          <w:caps/>
          <w:sz w:val="22"/>
          <w:szCs w:val="22"/>
        </w:rPr>
        <w:tab/>
      </w:r>
      <w:r w:rsidRPr="00BF3528">
        <w:rPr>
          <w:rFonts w:ascii="Arial" w:hAnsi="Arial" w:cs="Arial"/>
          <w:caps/>
          <w:sz w:val="22"/>
          <w:szCs w:val="22"/>
        </w:rPr>
        <w:tab/>
      </w:r>
      <w:r w:rsidRPr="00BF3528">
        <w:rPr>
          <w:rFonts w:ascii="Arial" w:hAnsi="Arial" w:cs="Arial"/>
          <w:caps/>
          <w:sz w:val="22"/>
          <w:szCs w:val="22"/>
        </w:rPr>
        <w:tab/>
      </w:r>
      <w:r w:rsidRPr="00BF3528">
        <w:rPr>
          <w:rFonts w:ascii="Arial" w:hAnsi="Arial" w:cs="Arial"/>
          <w:caps/>
          <w:sz w:val="22"/>
          <w:szCs w:val="22"/>
        </w:rPr>
        <w:tab/>
        <w:t xml:space="preserve"> </w:t>
      </w:r>
    </w:p>
    <w:p w:rsidR="00D009CA" w:rsidRPr="000C734A" w:rsidRDefault="00D009CA" w:rsidP="00625A2A">
      <w:pPr>
        <w:pStyle w:val="Nzev"/>
        <w:pBdr>
          <w:top w:val="single" w:sz="4" w:space="15" w:color="auto"/>
          <w:left w:val="single" w:sz="4" w:space="4" w:color="auto"/>
          <w:bottom w:val="single" w:sz="4" w:space="1" w:color="auto"/>
          <w:right w:val="single" w:sz="4" w:space="4" w:color="auto"/>
        </w:pBdr>
        <w:shd w:val="clear" w:color="auto" w:fill="E7E6E6" w:themeFill="background2"/>
        <w:spacing w:line="360" w:lineRule="auto"/>
        <w:rPr>
          <w:rFonts w:ascii="Times New Roman" w:hAnsi="Times New Roman" w:cs="Times New Roman"/>
          <w:caps/>
          <w:sz w:val="40"/>
          <w:szCs w:val="40"/>
        </w:rPr>
      </w:pPr>
      <w:r w:rsidRPr="000C734A">
        <w:rPr>
          <w:rFonts w:ascii="Times New Roman" w:hAnsi="Times New Roman" w:cs="Times New Roman"/>
          <w:caps/>
          <w:sz w:val="40"/>
          <w:szCs w:val="40"/>
        </w:rPr>
        <w:t>výběrové řízení</w:t>
      </w:r>
    </w:p>
    <w:p w:rsidR="00625A2A" w:rsidRPr="000C734A" w:rsidRDefault="00D009CA" w:rsidP="00625A2A">
      <w:pPr>
        <w:pStyle w:val="Zkladntext"/>
        <w:pBdr>
          <w:top w:val="single" w:sz="4" w:space="15" w:color="auto"/>
          <w:left w:val="single" w:sz="4" w:space="4" w:color="auto"/>
          <w:bottom w:val="single" w:sz="4" w:space="1" w:color="auto"/>
          <w:right w:val="single" w:sz="4" w:space="4" w:color="auto"/>
        </w:pBdr>
        <w:shd w:val="clear" w:color="auto" w:fill="E7E6E6" w:themeFill="background2"/>
        <w:spacing w:line="360" w:lineRule="auto"/>
        <w:jc w:val="center"/>
        <w:rPr>
          <w:b/>
          <w:bCs/>
          <w:sz w:val="40"/>
          <w:szCs w:val="40"/>
        </w:rPr>
      </w:pPr>
      <w:r w:rsidRPr="000C734A">
        <w:rPr>
          <w:b/>
          <w:bCs/>
          <w:sz w:val="40"/>
          <w:szCs w:val="40"/>
        </w:rPr>
        <w:t>„Provozovatel farmářských trhů na Kubánském náměstí v Praze 10“</w:t>
      </w:r>
    </w:p>
    <w:p w:rsidR="00D009CA" w:rsidRDefault="00D009CA" w:rsidP="00D009CA">
      <w:pPr>
        <w:pStyle w:val="Prosttext"/>
        <w:rPr>
          <w:rFonts w:ascii="Arial" w:hAnsi="Arial" w:cs="Arial"/>
          <w:sz w:val="22"/>
          <w:szCs w:val="22"/>
        </w:rPr>
      </w:pPr>
    </w:p>
    <w:p w:rsidR="000C734A" w:rsidRPr="00BF3528" w:rsidRDefault="000C734A" w:rsidP="00D009CA">
      <w:pPr>
        <w:pStyle w:val="Prosttext"/>
        <w:rPr>
          <w:rFonts w:ascii="Arial" w:hAnsi="Arial" w:cs="Arial"/>
          <w:sz w:val="22"/>
          <w:szCs w:val="22"/>
        </w:rPr>
      </w:pPr>
    </w:p>
    <w:p w:rsidR="00D009CA" w:rsidRPr="00DC0794" w:rsidRDefault="00D009CA" w:rsidP="00D009CA">
      <w:pPr>
        <w:pStyle w:val="Odstavecseseznamem"/>
        <w:numPr>
          <w:ilvl w:val="0"/>
          <w:numId w:val="6"/>
        </w:numPr>
        <w:overflowPunct w:val="0"/>
        <w:adjustRightInd w:val="0"/>
        <w:spacing w:line="276" w:lineRule="auto"/>
        <w:jc w:val="both"/>
        <w:textAlignment w:val="baseline"/>
        <w:rPr>
          <w:rFonts w:ascii="Times New Roman" w:hAnsi="Times New Roman"/>
          <w:b/>
          <w:bCs/>
          <w:iCs/>
          <w:sz w:val="24"/>
          <w:szCs w:val="24"/>
          <w:u w:val="single"/>
        </w:rPr>
      </w:pPr>
      <w:r w:rsidRPr="00DC0794">
        <w:rPr>
          <w:rFonts w:ascii="Times New Roman" w:hAnsi="Times New Roman"/>
          <w:b/>
          <w:bCs/>
          <w:iCs/>
          <w:sz w:val="24"/>
          <w:szCs w:val="24"/>
          <w:u w:val="single"/>
        </w:rPr>
        <w:t>Rozsah služeb a závazné parametry</w:t>
      </w:r>
    </w:p>
    <w:p w:rsidR="00D009CA" w:rsidRPr="00DC0794" w:rsidRDefault="00D009CA" w:rsidP="00D009CA">
      <w:pPr>
        <w:spacing w:line="276" w:lineRule="auto"/>
        <w:jc w:val="both"/>
        <w:rPr>
          <w:b/>
          <w:bCs/>
        </w:rPr>
      </w:pPr>
      <w:r w:rsidRPr="00DC0794">
        <w:t xml:space="preserve">Předmětem výběrového řízení je kompletní organizační zajištění a provozování farmářských trhů (dále jen „FT“) na Kubánském náměstí v Praze 10. </w:t>
      </w:r>
    </w:p>
    <w:p w:rsidR="00D009CA" w:rsidRPr="00DC0794" w:rsidRDefault="00D009CA" w:rsidP="00D009CA">
      <w:pPr>
        <w:overflowPunct w:val="0"/>
        <w:adjustRightInd w:val="0"/>
        <w:spacing w:line="276" w:lineRule="auto"/>
        <w:jc w:val="both"/>
        <w:textAlignment w:val="baseline"/>
        <w:rPr>
          <w:bCs/>
          <w:iCs/>
        </w:rPr>
      </w:pPr>
      <w:r w:rsidRPr="00DC0794">
        <w:rPr>
          <w:bCs/>
          <w:iCs/>
        </w:rPr>
        <w:t>Provozovatel je povinen řídit</w:t>
      </w:r>
      <w:r w:rsidR="00DC0794">
        <w:rPr>
          <w:bCs/>
          <w:iCs/>
        </w:rPr>
        <w:t xml:space="preserve"> se</w:t>
      </w:r>
      <w:r w:rsidRPr="00DC0794">
        <w:rPr>
          <w:bCs/>
          <w:iCs/>
        </w:rPr>
        <w:t xml:space="preserve"> základními pravidly pro provozování farmářských trhů uvedenými v Příloze č. 2.</w:t>
      </w:r>
    </w:p>
    <w:p w:rsidR="00D009CA" w:rsidRPr="00DC0794" w:rsidRDefault="00D009CA" w:rsidP="00D009CA">
      <w:pPr>
        <w:pStyle w:val="Default"/>
        <w:spacing w:line="276" w:lineRule="auto"/>
        <w:jc w:val="both"/>
        <w:rPr>
          <w:rFonts w:ascii="Times New Roman" w:hAnsi="Times New Roman" w:cs="Times New Roman"/>
          <w:bCs/>
          <w:iCs/>
          <w:color w:val="auto"/>
        </w:rPr>
      </w:pPr>
      <w:r w:rsidRPr="00DC0794">
        <w:rPr>
          <w:rFonts w:ascii="Times New Roman" w:hAnsi="Times New Roman" w:cs="Times New Roman"/>
          <w:bCs/>
          <w:iCs/>
          <w:color w:val="auto"/>
        </w:rPr>
        <w:t xml:space="preserve">Provozovatel FT vč. prodejců musí dodržovat tzv. Kodex farmářských trhů (Příloha č. 3). </w:t>
      </w:r>
    </w:p>
    <w:p w:rsidR="00D009CA" w:rsidRPr="00DC0794" w:rsidRDefault="00D009CA" w:rsidP="00D009CA">
      <w:pPr>
        <w:pStyle w:val="Default"/>
        <w:spacing w:line="276" w:lineRule="auto"/>
        <w:jc w:val="both"/>
        <w:rPr>
          <w:rFonts w:ascii="Times New Roman" w:hAnsi="Times New Roman" w:cs="Times New Roman"/>
          <w:bCs/>
          <w:iCs/>
          <w:color w:val="auto"/>
        </w:rPr>
      </w:pPr>
      <w:r w:rsidRPr="00DC0794">
        <w:rPr>
          <w:rFonts w:ascii="Times New Roman" w:hAnsi="Times New Roman" w:cs="Times New Roman"/>
          <w:bCs/>
          <w:iCs/>
          <w:color w:val="auto"/>
        </w:rPr>
        <w:t>Prodej a dodržování zákonných podmínek upravuje Tržní řád farmářských trhů (Příloha č. 4).</w:t>
      </w:r>
    </w:p>
    <w:p w:rsidR="00D009CA" w:rsidRPr="00DC0794" w:rsidRDefault="00D009CA" w:rsidP="00D009CA">
      <w:pPr>
        <w:pStyle w:val="Default"/>
        <w:spacing w:line="276" w:lineRule="auto"/>
        <w:jc w:val="both"/>
        <w:rPr>
          <w:rFonts w:ascii="Times New Roman" w:hAnsi="Times New Roman" w:cs="Times New Roman"/>
          <w:bCs/>
          <w:iCs/>
          <w:color w:val="auto"/>
        </w:rPr>
      </w:pPr>
      <w:r w:rsidRPr="00DC0794">
        <w:rPr>
          <w:rFonts w:ascii="Times New Roman" w:hAnsi="Times New Roman" w:cs="Times New Roman"/>
          <w:bCs/>
          <w:iCs/>
          <w:color w:val="auto"/>
        </w:rPr>
        <w:t>Místo konání FT je definováno plánkem, který je Přílohou č. 5.</w:t>
      </w:r>
    </w:p>
    <w:p w:rsidR="00D009CA" w:rsidRDefault="00D009CA" w:rsidP="00D009CA">
      <w:pPr>
        <w:pStyle w:val="Default"/>
        <w:spacing w:line="276" w:lineRule="auto"/>
        <w:contextualSpacing/>
        <w:jc w:val="both"/>
        <w:rPr>
          <w:rFonts w:ascii="Times New Roman" w:hAnsi="Times New Roman" w:cs="Times New Roman"/>
        </w:rPr>
      </w:pPr>
    </w:p>
    <w:p w:rsidR="00D40547" w:rsidRPr="00DC0794" w:rsidRDefault="00D40547" w:rsidP="00D009CA">
      <w:pPr>
        <w:pStyle w:val="Default"/>
        <w:spacing w:line="276" w:lineRule="auto"/>
        <w:contextualSpacing/>
        <w:jc w:val="both"/>
        <w:rPr>
          <w:rFonts w:ascii="Times New Roman" w:hAnsi="Times New Roman" w:cs="Times New Roman"/>
        </w:rPr>
      </w:pPr>
    </w:p>
    <w:p w:rsidR="00D009CA" w:rsidRPr="00DC0794" w:rsidRDefault="00D009CA" w:rsidP="00D009CA">
      <w:pPr>
        <w:pStyle w:val="Odstavecseseznamem"/>
        <w:numPr>
          <w:ilvl w:val="0"/>
          <w:numId w:val="6"/>
        </w:numPr>
        <w:overflowPunct w:val="0"/>
        <w:adjustRightInd w:val="0"/>
        <w:spacing w:line="276" w:lineRule="auto"/>
        <w:jc w:val="both"/>
        <w:textAlignment w:val="baseline"/>
        <w:rPr>
          <w:rFonts w:ascii="Times New Roman" w:hAnsi="Times New Roman"/>
          <w:b/>
          <w:sz w:val="24"/>
          <w:szCs w:val="24"/>
          <w:u w:val="single"/>
        </w:rPr>
      </w:pPr>
      <w:r w:rsidRPr="00DC0794">
        <w:rPr>
          <w:rFonts w:ascii="Times New Roman" w:hAnsi="Times New Roman"/>
          <w:b/>
          <w:sz w:val="24"/>
          <w:szCs w:val="24"/>
          <w:u w:val="single"/>
        </w:rPr>
        <w:t xml:space="preserve">Prodejní dny, prodejní doba </w:t>
      </w:r>
    </w:p>
    <w:p w:rsidR="00D009CA" w:rsidRPr="00DC0794" w:rsidRDefault="00D009CA" w:rsidP="00D009CA">
      <w:pPr>
        <w:spacing w:line="276" w:lineRule="auto"/>
        <w:jc w:val="both"/>
      </w:pPr>
      <w:r w:rsidRPr="00DC0794">
        <w:t>prodejní dny</w:t>
      </w:r>
      <w:r w:rsidRPr="00DC0794">
        <w:rPr>
          <w:rStyle w:val="Odkaznakoment"/>
          <w:sz w:val="24"/>
          <w:szCs w:val="24"/>
        </w:rPr>
        <w:t xml:space="preserve">: </w:t>
      </w:r>
      <w:r w:rsidRPr="00DC0794">
        <w:t>dle návrhu koncepce</w:t>
      </w:r>
    </w:p>
    <w:p w:rsidR="00D009CA" w:rsidRPr="00DC0794" w:rsidRDefault="00D009CA" w:rsidP="00D009CA">
      <w:pPr>
        <w:spacing w:line="276" w:lineRule="auto"/>
        <w:jc w:val="both"/>
      </w:pPr>
      <w:r w:rsidRPr="00DC0794">
        <w:t>prodejní doba: minimálně 8 hodin. Přípravu prodejních míst v den prodeje je možné zahájit nejdříve v 7:00 hod.</w:t>
      </w:r>
    </w:p>
    <w:p w:rsidR="00D009CA" w:rsidRPr="00DC0794" w:rsidRDefault="00D009CA" w:rsidP="00D009CA">
      <w:pPr>
        <w:spacing w:line="276" w:lineRule="auto"/>
        <w:jc w:val="both"/>
      </w:pPr>
    </w:p>
    <w:p w:rsidR="00D009CA" w:rsidRPr="00DC0794" w:rsidRDefault="00D009CA" w:rsidP="00D009CA">
      <w:pPr>
        <w:spacing w:line="276" w:lineRule="auto"/>
        <w:jc w:val="both"/>
      </w:pPr>
      <w:r w:rsidRPr="00DC0794">
        <w:t xml:space="preserve">FT budou v provozu, s přihlédnutím ke klimatickým podmínkám, v období od 30. 3. 2019 do 15. 11. 2019 a dále v průběhu prosince jako vánoční trhy. </w:t>
      </w:r>
    </w:p>
    <w:p w:rsidR="00D009CA" w:rsidRPr="00DC0794" w:rsidRDefault="00D009CA" w:rsidP="00D009CA">
      <w:pPr>
        <w:spacing w:line="276" w:lineRule="auto"/>
        <w:jc w:val="both"/>
      </w:pPr>
      <w:bookmarkStart w:id="0" w:name="_GoBack"/>
      <w:bookmarkEnd w:id="0"/>
    </w:p>
    <w:p w:rsidR="00D009CA" w:rsidRPr="00DC0794" w:rsidRDefault="00D009CA" w:rsidP="00D009CA">
      <w:pPr>
        <w:spacing w:line="276" w:lineRule="auto"/>
        <w:jc w:val="both"/>
      </w:pPr>
      <w:r w:rsidRPr="00DC0794">
        <w:t>V</w:t>
      </w:r>
      <w:r w:rsidR="00363E71" w:rsidRPr="00DC0794">
        <w:t xml:space="preserve"> </w:t>
      </w:r>
      <w:r w:rsidRPr="00DC0794">
        <w:t>roce 2019 je počítáno s cca 100 tržními dny.</w:t>
      </w:r>
    </w:p>
    <w:p w:rsidR="00D009CA" w:rsidRPr="00DC0794" w:rsidRDefault="00D009CA" w:rsidP="00D009CA">
      <w:pPr>
        <w:spacing w:line="276" w:lineRule="auto"/>
        <w:jc w:val="both"/>
        <w:rPr>
          <w:color w:val="000000"/>
        </w:rPr>
      </w:pPr>
    </w:p>
    <w:p w:rsidR="00D009CA" w:rsidRPr="00DC0794" w:rsidRDefault="00D009CA" w:rsidP="00D009CA">
      <w:pPr>
        <w:pStyle w:val="Default"/>
        <w:spacing w:line="276" w:lineRule="auto"/>
        <w:contextualSpacing/>
        <w:jc w:val="both"/>
        <w:rPr>
          <w:rFonts w:ascii="Times New Roman" w:hAnsi="Times New Roman" w:cs="Times New Roman"/>
        </w:rPr>
      </w:pPr>
      <w:r w:rsidRPr="00DC0794">
        <w:rPr>
          <w:rFonts w:ascii="Times New Roman" w:hAnsi="Times New Roman" w:cs="Times New Roman"/>
        </w:rPr>
        <w:t>Provozovatel zajistí vývoz a odstranění odpadu vzniklého při provozování FT, úklid prostoru farmářských trhů, přistavení a údržbu mobilního WC. Dále provozovatel zajistí u příslušného silničního správního úřadu vyřízení dopravního omezení pro parkoviště a přilehlé ulice a potřebné dokumenty k zajištění přechodného dopravního značení.</w:t>
      </w:r>
    </w:p>
    <w:p w:rsidR="00D009CA" w:rsidRPr="00266033" w:rsidRDefault="00D009CA" w:rsidP="00D009CA">
      <w:pPr>
        <w:pStyle w:val="Default"/>
        <w:spacing w:line="276" w:lineRule="auto"/>
        <w:ind w:left="720"/>
        <w:contextualSpacing/>
        <w:jc w:val="both"/>
        <w:rPr>
          <w:rFonts w:ascii="Times New Roman" w:hAnsi="Times New Roman" w:cs="Times New Roman"/>
        </w:rPr>
      </w:pPr>
      <w:r w:rsidRPr="00266033">
        <w:rPr>
          <w:rFonts w:ascii="Times New Roman" w:hAnsi="Times New Roman" w:cs="Times New Roman"/>
        </w:rPr>
        <w:t xml:space="preserve"> </w:t>
      </w:r>
    </w:p>
    <w:p w:rsidR="00D40547" w:rsidRPr="00266033" w:rsidRDefault="00D40547" w:rsidP="00D009CA">
      <w:pPr>
        <w:pStyle w:val="Default"/>
        <w:spacing w:line="276" w:lineRule="auto"/>
        <w:ind w:left="720"/>
        <w:contextualSpacing/>
        <w:jc w:val="both"/>
        <w:rPr>
          <w:rFonts w:ascii="Times New Roman" w:hAnsi="Times New Roman" w:cs="Times New Roman"/>
        </w:rPr>
      </w:pPr>
    </w:p>
    <w:p w:rsidR="00D009CA" w:rsidRPr="00825171" w:rsidRDefault="00D009CA" w:rsidP="00D009CA">
      <w:pPr>
        <w:pStyle w:val="Odstavecseseznamem"/>
        <w:numPr>
          <w:ilvl w:val="0"/>
          <w:numId w:val="6"/>
        </w:numPr>
        <w:overflowPunct w:val="0"/>
        <w:adjustRightInd w:val="0"/>
        <w:spacing w:line="276" w:lineRule="auto"/>
        <w:jc w:val="both"/>
        <w:textAlignment w:val="baseline"/>
        <w:rPr>
          <w:rFonts w:ascii="Times New Roman" w:hAnsi="Times New Roman"/>
          <w:b/>
          <w:sz w:val="24"/>
          <w:szCs w:val="24"/>
          <w:u w:val="single"/>
        </w:rPr>
      </w:pPr>
      <w:r w:rsidRPr="00825171">
        <w:rPr>
          <w:rFonts w:ascii="Times New Roman" w:hAnsi="Times New Roman"/>
          <w:b/>
          <w:sz w:val="24"/>
          <w:szCs w:val="24"/>
          <w:u w:val="single"/>
        </w:rPr>
        <w:t>Rozsah součinnosti ze strany ÚMČ Praha 10</w:t>
      </w:r>
    </w:p>
    <w:p w:rsidR="00D009CA" w:rsidRPr="00825171" w:rsidRDefault="00D009CA" w:rsidP="00D009CA">
      <w:pPr>
        <w:spacing w:line="276" w:lineRule="auto"/>
        <w:jc w:val="both"/>
      </w:pPr>
      <w:r w:rsidRPr="00825171">
        <w:t>Bezplatný pronájem plochy tržiště a parkovacích stání pro potřeby konání FT.</w:t>
      </w:r>
    </w:p>
    <w:p w:rsidR="00D009CA" w:rsidRPr="00825171" w:rsidRDefault="00D009CA" w:rsidP="00D009CA">
      <w:pPr>
        <w:spacing w:line="276" w:lineRule="auto"/>
        <w:jc w:val="both"/>
      </w:pPr>
      <w:r w:rsidRPr="00825171">
        <w:t>Každoroční zajišťování revizí a oprav přípojných bodů médi</w:t>
      </w:r>
      <w:r w:rsidR="00D40547">
        <w:t>í</w:t>
      </w:r>
      <w:r w:rsidRPr="00825171">
        <w:t xml:space="preserve"> (voda a elektřina).</w:t>
      </w:r>
    </w:p>
    <w:p w:rsidR="00D009CA" w:rsidRPr="00825171" w:rsidRDefault="00D009CA" w:rsidP="00D009CA">
      <w:pPr>
        <w:spacing w:line="276" w:lineRule="auto"/>
        <w:jc w:val="both"/>
      </w:pPr>
      <w:r w:rsidRPr="00825171">
        <w:t>Případné zmocnění pro zastupování MČ Prahy při povolování provozu FT, zejména pak parkování.</w:t>
      </w:r>
    </w:p>
    <w:p w:rsidR="00D009CA" w:rsidRPr="00BF3528" w:rsidRDefault="00D009CA" w:rsidP="00D009CA">
      <w:pPr>
        <w:spacing w:line="276" w:lineRule="auto"/>
        <w:jc w:val="both"/>
        <w:rPr>
          <w:rFonts w:ascii="Arial" w:hAnsi="Arial" w:cs="Arial"/>
          <w:b/>
          <w:u w:val="single"/>
        </w:rPr>
      </w:pPr>
    </w:p>
    <w:p w:rsidR="00D009CA" w:rsidRPr="00D40547" w:rsidRDefault="00D009CA" w:rsidP="00D009CA">
      <w:pPr>
        <w:pStyle w:val="Odstavecseseznamem"/>
        <w:numPr>
          <w:ilvl w:val="0"/>
          <w:numId w:val="6"/>
        </w:numPr>
        <w:overflowPunct w:val="0"/>
        <w:adjustRightInd w:val="0"/>
        <w:spacing w:line="276" w:lineRule="auto"/>
        <w:jc w:val="both"/>
        <w:textAlignment w:val="baseline"/>
        <w:rPr>
          <w:rFonts w:ascii="Times New Roman" w:hAnsi="Times New Roman"/>
          <w:b/>
          <w:sz w:val="24"/>
          <w:szCs w:val="24"/>
          <w:u w:val="single"/>
        </w:rPr>
      </w:pPr>
      <w:r w:rsidRPr="00D40547">
        <w:rPr>
          <w:rFonts w:ascii="Times New Roman" w:hAnsi="Times New Roman"/>
          <w:b/>
          <w:sz w:val="24"/>
          <w:szCs w:val="24"/>
          <w:u w:val="single"/>
        </w:rPr>
        <w:lastRenderedPageBreak/>
        <w:t>Další požadavky zadavatele</w:t>
      </w:r>
    </w:p>
    <w:p w:rsidR="00D009CA" w:rsidRPr="00D40547" w:rsidRDefault="00D009CA" w:rsidP="00D009CA">
      <w:pPr>
        <w:spacing w:line="276" w:lineRule="auto"/>
        <w:rPr>
          <w:b/>
        </w:rPr>
      </w:pPr>
      <w:r w:rsidRPr="00D40547">
        <w:rPr>
          <w:b/>
        </w:rPr>
        <w:t>Doprovodný program</w:t>
      </w:r>
    </w:p>
    <w:p w:rsidR="00D009CA" w:rsidRPr="00D40547" w:rsidRDefault="00D009CA" w:rsidP="00D009CA">
      <w:pPr>
        <w:spacing w:line="276" w:lineRule="auto"/>
        <w:rPr>
          <w:color w:val="000000"/>
        </w:rPr>
      </w:pPr>
      <w:r w:rsidRPr="00D40547">
        <w:rPr>
          <w:color w:val="000000"/>
        </w:rPr>
        <w:t xml:space="preserve">Provozovatel navrhne doprovodný program FT. </w:t>
      </w:r>
    </w:p>
    <w:p w:rsidR="00D009CA" w:rsidRPr="00D40547" w:rsidRDefault="00D009CA" w:rsidP="00D009CA">
      <w:pPr>
        <w:spacing w:line="276" w:lineRule="auto"/>
        <w:jc w:val="both"/>
        <w:rPr>
          <w:color w:val="000000"/>
          <w:sz w:val="22"/>
          <w:szCs w:val="22"/>
        </w:rPr>
      </w:pPr>
      <w:r w:rsidRPr="00D40547">
        <w:rPr>
          <w:color w:val="000000"/>
        </w:rPr>
        <w:t>FT nejsou jen prodejním prostorem, ale i místem setkání se sousedy, odpočinku a formou trávení volného času. MČ Praha 10 proto klade důraz na kvalitní, kulturně volnočasový doprovodný program FT. Tento program by měl zároveň do určité míry tematicky navazovat na aktuálně prodávaný sortiment zboží a roční období. Způsob organizace provozovatelem a schvalování doprovodného programu ze strany zadavatele bude součástí návrhu smlouvy. Zadavatel předpokládá, že bude dopředu informován o jednotlivých doprovodných akcích a případně bude moci do tohoto programu zasáhnout. Celková organizace doprovodného programu bude probíhat na náklady provozovatele.</w:t>
      </w:r>
      <w:r w:rsidRPr="00D40547">
        <w:rPr>
          <w:color w:val="000000"/>
          <w:sz w:val="22"/>
          <w:szCs w:val="22"/>
        </w:rPr>
        <w:t xml:space="preserve"> </w:t>
      </w:r>
    </w:p>
    <w:p w:rsidR="00D009CA" w:rsidRPr="00266033" w:rsidRDefault="00D009CA" w:rsidP="00D009CA">
      <w:pPr>
        <w:overflowPunct w:val="0"/>
        <w:adjustRightInd w:val="0"/>
        <w:spacing w:line="276" w:lineRule="auto"/>
        <w:jc w:val="both"/>
        <w:textAlignment w:val="baseline"/>
        <w:rPr>
          <w:b/>
          <w:u w:val="single"/>
        </w:rPr>
      </w:pPr>
    </w:p>
    <w:p w:rsidR="00266033" w:rsidRPr="00266033" w:rsidRDefault="00266033" w:rsidP="00D009CA">
      <w:pPr>
        <w:overflowPunct w:val="0"/>
        <w:adjustRightInd w:val="0"/>
        <w:spacing w:line="276" w:lineRule="auto"/>
        <w:jc w:val="both"/>
        <w:textAlignment w:val="baseline"/>
        <w:rPr>
          <w:b/>
          <w:u w:val="single"/>
        </w:rPr>
      </w:pPr>
    </w:p>
    <w:p w:rsidR="00D009CA" w:rsidRPr="00266033" w:rsidRDefault="00D009CA" w:rsidP="00D009CA">
      <w:pPr>
        <w:pStyle w:val="Odstavecseseznamem"/>
        <w:numPr>
          <w:ilvl w:val="0"/>
          <w:numId w:val="6"/>
        </w:numPr>
        <w:overflowPunct w:val="0"/>
        <w:adjustRightInd w:val="0"/>
        <w:spacing w:line="276" w:lineRule="auto"/>
        <w:jc w:val="both"/>
        <w:textAlignment w:val="baseline"/>
        <w:rPr>
          <w:rFonts w:ascii="Times New Roman" w:hAnsi="Times New Roman"/>
          <w:b/>
          <w:sz w:val="24"/>
          <w:szCs w:val="24"/>
          <w:u w:val="single"/>
        </w:rPr>
      </w:pPr>
      <w:r w:rsidRPr="00266033">
        <w:rPr>
          <w:rFonts w:ascii="Times New Roman" w:hAnsi="Times New Roman"/>
          <w:b/>
          <w:sz w:val="24"/>
          <w:szCs w:val="24"/>
          <w:u w:val="single"/>
        </w:rPr>
        <w:t>Peněžní plnění za pořádání FT</w:t>
      </w:r>
    </w:p>
    <w:p w:rsidR="00D009CA" w:rsidRPr="00266033" w:rsidRDefault="00D009CA" w:rsidP="00D009CA">
      <w:pPr>
        <w:spacing w:line="276" w:lineRule="auto"/>
        <w:jc w:val="both"/>
      </w:pPr>
      <w:r w:rsidRPr="00266033">
        <w:rPr>
          <w:color w:val="000000"/>
        </w:rPr>
        <w:t>Provozovatel je povinen platit z</w:t>
      </w:r>
      <w:r w:rsidRPr="00266033">
        <w:rPr>
          <w:color w:val="333333"/>
        </w:rPr>
        <w:t xml:space="preserve">álohové platby za odběr energií a vody. Zálohy se platí </w:t>
      </w:r>
      <w:r w:rsidRPr="00266033">
        <w:rPr>
          <w:rStyle w:val="Siln"/>
          <w:color w:val="000000"/>
        </w:rPr>
        <w:t>vždy dopředu na každé čtvrtletí. Tj. 3x ročně: v březnu, v červnu a v září.</w:t>
      </w:r>
      <w:r w:rsidRPr="00266033">
        <w:rPr>
          <w:color w:val="333333"/>
        </w:rPr>
        <w:t xml:space="preserve"> Poslední zářijová záloha je ve výši 50 000 Kč, záloha splatná v březnu a září je stanovena na 25 000 Kč za každé čtvrtletí. Zaplacené zálohy budou </w:t>
      </w:r>
      <w:r w:rsidRPr="00266033">
        <w:rPr>
          <w:color w:val="000000"/>
        </w:rPr>
        <w:t xml:space="preserve">následně </w:t>
      </w:r>
      <w:r w:rsidRPr="00266033">
        <w:rPr>
          <w:rStyle w:val="Siln"/>
          <w:color w:val="000000"/>
        </w:rPr>
        <w:t>vyúčtovány podle skutečné spotřeby</w:t>
      </w:r>
      <w:r w:rsidRPr="00266033">
        <w:rPr>
          <w:color w:val="000000"/>
        </w:rPr>
        <w:t xml:space="preserve"> (jednou ročně) a přeplatek bude provozovateli vrácen, nedoplatek provozovatel doplatí.</w:t>
      </w:r>
      <w:r w:rsidR="00363E71" w:rsidRPr="00266033">
        <w:rPr>
          <w:color w:val="000000"/>
        </w:rPr>
        <w:t xml:space="preserve"> </w:t>
      </w:r>
    </w:p>
    <w:p w:rsidR="00D009CA" w:rsidRDefault="00D009CA" w:rsidP="00D009CA">
      <w:pPr>
        <w:spacing w:line="276" w:lineRule="auto"/>
        <w:jc w:val="both"/>
        <w:rPr>
          <w:sz w:val="22"/>
          <w:szCs w:val="22"/>
        </w:rPr>
      </w:pPr>
    </w:p>
    <w:p w:rsidR="00266033" w:rsidRPr="00266033" w:rsidRDefault="00266033" w:rsidP="00D009CA">
      <w:pPr>
        <w:spacing w:line="276" w:lineRule="auto"/>
        <w:jc w:val="both"/>
        <w:rPr>
          <w:sz w:val="22"/>
          <w:szCs w:val="22"/>
        </w:rPr>
      </w:pPr>
    </w:p>
    <w:p w:rsidR="00D009CA" w:rsidRPr="00266033" w:rsidRDefault="00D009CA" w:rsidP="00D009CA">
      <w:pPr>
        <w:pStyle w:val="Odstavecseseznamem"/>
        <w:numPr>
          <w:ilvl w:val="0"/>
          <w:numId w:val="6"/>
        </w:numPr>
        <w:overflowPunct w:val="0"/>
        <w:adjustRightInd w:val="0"/>
        <w:spacing w:line="276" w:lineRule="auto"/>
        <w:jc w:val="both"/>
        <w:textAlignment w:val="baseline"/>
        <w:rPr>
          <w:rFonts w:ascii="Times New Roman" w:hAnsi="Times New Roman"/>
          <w:b/>
          <w:sz w:val="24"/>
          <w:szCs w:val="24"/>
          <w:u w:val="single"/>
        </w:rPr>
      </w:pPr>
      <w:r w:rsidRPr="00266033">
        <w:rPr>
          <w:rFonts w:ascii="Times New Roman" w:hAnsi="Times New Roman"/>
          <w:b/>
          <w:sz w:val="24"/>
          <w:szCs w:val="24"/>
          <w:u w:val="single"/>
        </w:rPr>
        <w:t>Propagace</w:t>
      </w:r>
    </w:p>
    <w:p w:rsidR="00D009CA" w:rsidRPr="00266033" w:rsidRDefault="00D009CA" w:rsidP="00D009CA">
      <w:pPr>
        <w:spacing w:line="276" w:lineRule="auto"/>
        <w:jc w:val="both"/>
        <w:rPr>
          <w:color w:val="000000"/>
        </w:rPr>
      </w:pPr>
      <w:r w:rsidRPr="00266033">
        <w:rPr>
          <w:color w:val="000000"/>
        </w:rPr>
        <w:t xml:space="preserve">Provozovatel je povinen zajistit propagaci FT, tj. připravit jednotný grafický vizuál a mediální kampaň. Vítězný účastník výběrového řízení bude vyzván k předložení návrhu „kampaně“. Před uveřejněním propagačních materiálů je provozovatel povinen nechat podklady k propagaci odsouhlasit zadavatelem. </w:t>
      </w:r>
    </w:p>
    <w:p w:rsidR="00D009CA" w:rsidRPr="00266033" w:rsidRDefault="00D009CA" w:rsidP="00D009CA">
      <w:pPr>
        <w:spacing w:line="276" w:lineRule="auto"/>
        <w:jc w:val="both"/>
        <w:rPr>
          <w:color w:val="000000"/>
        </w:rPr>
      </w:pPr>
    </w:p>
    <w:p w:rsidR="00D009CA" w:rsidRPr="00266033" w:rsidRDefault="00D009CA" w:rsidP="00D009CA">
      <w:pPr>
        <w:spacing w:line="276" w:lineRule="auto"/>
        <w:jc w:val="both"/>
        <w:rPr>
          <w:b/>
          <w:color w:val="000000"/>
        </w:rPr>
      </w:pPr>
      <w:r w:rsidRPr="00266033">
        <w:rPr>
          <w:color w:val="000000"/>
        </w:rPr>
        <w:t xml:space="preserve">ÚMČ Praha 10 se zavazuje poskytnout provozovateli přiměřenou součinnost k propagaci, např. možnost bezplatné inzerce v tisku Městské části Praha 10, na webu MČ Praha 10 apod. Zveřejňované propagační materiály budou dodržovat platnou legislativu, a to zejména v oblasti autorských práv. </w:t>
      </w:r>
      <w:r w:rsidRPr="00266033">
        <w:rPr>
          <w:b/>
          <w:color w:val="000000"/>
        </w:rPr>
        <w:t>Tento závazek bude obsažen v předkládaném návrhu smlouvy.</w:t>
      </w:r>
    </w:p>
    <w:p w:rsidR="00D009CA" w:rsidRDefault="00D009CA" w:rsidP="00D009CA">
      <w:pPr>
        <w:spacing w:line="276" w:lineRule="auto"/>
        <w:jc w:val="both"/>
        <w:rPr>
          <w:b/>
          <w:u w:val="single"/>
        </w:rPr>
      </w:pPr>
    </w:p>
    <w:p w:rsidR="00266033" w:rsidRPr="00266033" w:rsidRDefault="00266033" w:rsidP="00D009CA">
      <w:pPr>
        <w:spacing w:line="276" w:lineRule="auto"/>
        <w:jc w:val="both"/>
        <w:rPr>
          <w:b/>
          <w:u w:val="single"/>
        </w:rPr>
      </w:pPr>
    </w:p>
    <w:p w:rsidR="00D009CA" w:rsidRPr="00266033" w:rsidRDefault="00D009CA" w:rsidP="00D009CA">
      <w:pPr>
        <w:pStyle w:val="Odstavecseseznamem"/>
        <w:numPr>
          <w:ilvl w:val="0"/>
          <w:numId w:val="6"/>
        </w:numPr>
        <w:overflowPunct w:val="0"/>
        <w:adjustRightInd w:val="0"/>
        <w:spacing w:line="276" w:lineRule="auto"/>
        <w:jc w:val="both"/>
        <w:textAlignment w:val="baseline"/>
        <w:rPr>
          <w:rFonts w:ascii="Times New Roman" w:hAnsi="Times New Roman"/>
          <w:b/>
          <w:sz w:val="24"/>
          <w:szCs w:val="24"/>
          <w:u w:val="single"/>
        </w:rPr>
      </w:pPr>
      <w:r w:rsidRPr="00266033">
        <w:rPr>
          <w:rFonts w:ascii="Times New Roman" w:hAnsi="Times New Roman"/>
          <w:b/>
          <w:sz w:val="24"/>
          <w:szCs w:val="24"/>
          <w:u w:val="single"/>
        </w:rPr>
        <w:t>Místo konání FT</w:t>
      </w:r>
    </w:p>
    <w:p w:rsidR="00B26C94" w:rsidRDefault="00D009CA" w:rsidP="00D009CA">
      <w:pPr>
        <w:spacing w:line="276" w:lineRule="auto"/>
        <w:jc w:val="both"/>
        <w:rPr>
          <w:color w:val="000000"/>
        </w:rPr>
      </w:pPr>
      <w:r w:rsidRPr="00266033">
        <w:rPr>
          <w:color w:val="000000"/>
        </w:rPr>
        <w:t xml:space="preserve">Zpevněná plocha Kubánské náměstí, na pozemku č. parc. 1673 v k. </w:t>
      </w:r>
      <w:proofErr w:type="spellStart"/>
      <w:r w:rsidRPr="00266033">
        <w:rPr>
          <w:color w:val="000000"/>
        </w:rPr>
        <w:t>ú.</w:t>
      </w:r>
      <w:proofErr w:type="spellEnd"/>
      <w:r w:rsidRPr="00266033">
        <w:rPr>
          <w:color w:val="000000"/>
        </w:rPr>
        <w:t xml:space="preserve"> Vršovice (Příloha č. 5). V rámci tematických akcí může dojít k využití i dalších částí předmětného pozemku, ke </w:t>
      </w:r>
      <w:r w:rsidRPr="00B26C94">
        <w:rPr>
          <w:color w:val="000000"/>
        </w:rPr>
        <w:t xml:space="preserve">kterému je ale nutné dopředu získat souhlas odboru životního prostředí, dopravy a rozvoje MČ Prahy 10. </w:t>
      </w:r>
    </w:p>
    <w:p w:rsidR="00B26C94" w:rsidRDefault="00B26C94" w:rsidP="00D009CA">
      <w:pPr>
        <w:spacing w:line="276" w:lineRule="auto"/>
        <w:jc w:val="both"/>
        <w:rPr>
          <w:color w:val="000000"/>
        </w:rPr>
      </w:pPr>
    </w:p>
    <w:p w:rsidR="00B26C94" w:rsidRDefault="00B26C94" w:rsidP="00D009CA">
      <w:pPr>
        <w:spacing w:line="276" w:lineRule="auto"/>
        <w:jc w:val="both"/>
        <w:rPr>
          <w:color w:val="000000"/>
        </w:rPr>
      </w:pPr>
    </w:p>
    <w:p w:rsidR="00B26C94" w:rsidRDefault="00B26C94" w:rsidP="00D009CA">
      <w:pPr>
        <w:spacing w:line="276" w:lineRule="auto"/>
        <w:jc w:val="both"/>
        <w:rPr>
          <w:color w:val="000000"/>
        </w:rPr>
      </w:pPr>
    </w:p>
    <w:p w:rsidR="00B26C94" w:rsidRPr="00B26C94" w:rsidRDefault="00B26C94" w:rsidP="00D009CA">
      <w:pPr>
        <w:spacing w:line="276" w:lineRule="auto"/>
        <w:jc w:val="both"/>
        <w:rPr>
          <w:color w:val="000000"/>
        </w:rPr>
      </w:pPr>
    </w:p>
    <w:p w:rsidR="00D009CA" w:rsidRPr="00B26C94" w:rsidRDefault="00D009CA" w:rsidP="00D009CA">
      <w:pPr>
        <w:pStyle w:val="Odstavecseseznamem"/>
        <w:numPr>
          <w:ilvl w:val="0"/>
          <w:numId w:val="6"/>
        </w:numPr>
        <w:overflowPunct w:val="0"/>
        <w:adjustRightInd w:val="0"/>
        <w:spacing w:line="276" w:lineRule="auto"/>
        <w:jc w:val="both"/>
        <w:textAlignment w:val="baseline"/>
        <w:rPr>
          <w:rFonts w:ascii="Times New Roman" w:hAnsi="Times New Roman"/>
          <w:b/>
          <w:sz w:val="24"/>
          <w:szCs w:val="24"/>
          <w:u w:val="single"/>
        </w:rPr>
      </w:pPr>
      <w:r w:rsidRPr="00B26C94">
        <w:rPr>
          <w:rFonts w:ascii="Times New Roman" w:hAnsi="Times New Roman"/>
          <w:b/>
          <w:sz w:val="24"/>
          <w:szCs w:val="24"/>
          <w:u w:val="single"/>
        </w:rPr>
        <w:lastRenderedPageBreak/>
        <w:t>Doba trvání poskytování služeb provozování FT</w:t>
      </w:r>
    </w:p>
    <w:p w:rsidR="00D009CA" w:rsidRPr="00B26C94" w:rsidRDefault="00D009CA" w:rsidP="00D009CA">
      <w:pPr>
        <w:spacing w:line="276" w:lineRule="auto"/>
        <w:jc w:val="both"/>
        <w:rPr>
          <w:color w:val="000000"/>
        </w:rPr>
      </w:pPr>
      <w:r w:rsidRPr="00B26C94">
        <w:rPr>
          <w:color w:val="000000"/>
        </w:rPr>
        <w:t xml:space="preserve">Doba provozování FT je stanovena na dobu určitou do 31. 12. 2019. V případě, že bude zadavatel s poskytovanými službami provozovatele spokojen a nedojde v tomto období k podstatnému porušení smlouvy, lze smlouvu, po schválení Radou MČ Prahy 10, prodloužit o dalších 48 měsíců. </w:t>
      </w:r>
    </w:p>
    <w:p w:rsidR="00B26C94" w:rsidRPr="00B26C94" w:rsidRDefault="00B26C94" w:rsidP="00D009CA">
      <w:pPr>
        <w:spacing w:line="276" w:lineRule="auto"/>
        <w:jc w:val="both"/>
      </w:pPr>
    </w:p>
    <w:p w:rsidR="00D009CA" w:rsidRPr="00B26C94" w:rsidRDefault="00D009CA" w:rsidP="00D009CA">
      <w:pPr>
        <w:pStyle w:val="Zkladntext3"/>
        <w:rPr>
          <w:b w:val="0"/>
          <w:bCs w:val="0"/>
          <w:sz w:val="22"/>
          <w:szCs w:val="22"/>
        </w:rPr>
      </w:pPr>
    </w:p>
    <w:p w:rsidR="00D009CA" w:rsidRPr="00B26C94" w:rsidRDefault="00D009CA" w:rsidP="00D009CA">
      <w:pPr>
        <w:pStyle w:val="Odstavecseseznamem"/>
        <w:numPr>
          <w:ilvl w:val="0"/>
          <w:numId w:val="6"/>
        </w:numPr>
        <w:overflowPunct w:val="0"/>
        <w:adjustRightInd w:val="0"/>
        <w:spacing w:line="276" w:lineRule="auto"/>
        <w:jc w:val="both"/>
        <w:textAlignment w:val="baseline"/>
        <w:rPr>
          <w:rFonts w:ascii="Times New Roman" w:hAnsi="Times New Roman"/>
          <w:b/>
          <w:sz w:val="24"/>
          <w:szCs w:val="24"/>
          <w:u w:val="single"/>
        </w:rPr>
      </w:pPr>
      <w:r w:rsidRPr="00B26C94">
        <w:rPr>
          <w:rFonts w:ascii="Times New Roman" w:hAnsi="Times New Roman"/>
          <w:b/>
          <w:sz w:val="24"/>
          <w:szCs w:val="24"/>
          <w:u w:val="single"/>
        </w:rPr>
        <w:t xml:space="preserve">Způsob hodnocení </w:t>
      </w:r>
    </w:p>
    <w:p w:rsidR="00D009CA" w:rsidRPr="00B26C94" w:rsidRDefault="00D009CA" w:rsidP="00D009CA">
      <w:pPr>
        <w:spacing w:line="276" w:lineRule="auto"/>
        <w:rPr>
          <w:b/>
        </w:rPr>
      </w:pPr>
      <w:r w:rsidRPr="00B26C94">
        <w:rPr>
          <w:b/>
          <w:color w:val="000000"/>
        </w:rPr>
        <w:t>1/</w:t>
      </w:r>
      <w:r w:rsidRPr="00B26C94">
        <w:rPr>
          <w:color w:val="000000"/>
        </w:rPr>
        <w:t xml:space="preserve"> </w:t>
      </w:r>
      <w:r w:rsidRPr="00B26C94">
        <w:rPr>
          <w:b/>
          <w:color w:val="000000"/>
        </w:rPr>
        <w:t xml:space="preserve">Celková koncepce FT </w:t>
      </w:r>
      <w:r w:rsidRPr="00B26C94">
        <w:rPr>
          <w:b/>
          <w:color w:val="000000"/>
        </w:rPr>
        <w:tab/>
      </w:r>
      <w:r w:rsidRPr="00B26C94">
        <w:rPr>
          <w:b/>
          <w:color w:val="000000"/>
        </w:rPr>
        <w:tab/>
      </w:r>
      <w:r w:rsidRPr="00B26C94">
        <w:rPr>
          <w:b/>
          <w:color w:val="000000"/>
        </w:rPr>
        <w:tab/>
      </w:r>
      <w:r w:rsidRPr="00B26C94">
        <w:rPr>
          <w:b/>
          <w:color w:val="000000"/>
        </w:rPr>
        <w:tab/>
      </w:r>
      <w:r w:rsidRPr="00B26C94">
        <w:rPr>
          <w:b/>
          <w:color w:val="000000"/>
        </w:rPr>
        <w:tab/>
      </w:r>
      <w:r w:rsidRPr="00B26C94">
        <w:rPr>
          <w:b/>
          <w:color w:val="000000"/>
        </w:rPr>
        <w:tab/>
      </w:r>
      <w:r w:rsidRPr="00B26C94">
        <w:rPr>
          <w:b/>
          <w:color w:val="000000"/>
        </w:rPr>
        <w:tab/>
      </w:r>
      <w:r w:rsidRPr="00B26C94">
        <w:rPr>
          <w:b/>
          <w:color w:val="000000"/>
        </w:rPr>
        <w:tab/>
        <w:t xml:space="preserve">40% </w:t>
      </w:r>
    </w:p>
    <w:p w:rsidR="00D009CA" w:rsidRPr="00B26C94" w:rsidRDefault="00D009CA" w:rsidP="00D009CA">
      <w:pPr>
        <w:pStyle w:val="Odstavecseseznamem"/>
        <w:numPr>
          <w:ilvl w:val="0"/>
          <w:numId w:val="5"/>
        </w:numPr>
        <w:spacing w:line="276" w:lineRule="auto"/>
        <w:jc w:val="both"/>
        <w:rPr>
          <w:rFonts w:ascii="Times New Roman" w:hAnsi="Times New Roman"/>
          <w:sz w:val="24"/>
          <w:szCs w:val="24"/>
        </w:rPr>
      </w:pPr>
      <w:r w:rsidRPr="00B26C94">
        <w:rPr>
          <w:rFonts w:ascii="Times New Roman" w:hAnsi="Times New Roman"/>
          <w:color w:val="000000"/>
          <w:sz w:val="24"/>
          <w:szCs w:val="24"/>
        </w:rPr>
        <w:t xml:space="preserve">Organizace a personální zajištění </w:t>
      </w:r>
    </w:p>
    <w:p w:rsidR="00D009CA" w:rsidRPr="00B26C94" w:rsidRDefault="00D009CA" w:rsidP="00D009CA">
      <w:pPr>
        <w:pStyle w:val="Odstavecseseznamem"/>
        <w:numPr>
          <w:ilvl w:val="0"/>
          <w:numId w:val="5"/>
        </w:numPr>
        <w:spacing w:line="276" w:lineRule="auto"/>
        <w:jc w:val="both"/>
        <w:rPr>
          <w:rFonts w:ascii="Times New Roman" w:hAnsi="Times New Roman"/>
          <w:sz w:val="24"/>
          <w:szCs w:val="24"/>
        </w:rPr>
      </w:pPr>
      <w:r w:rsidRPr="00B26C94">
        <w:rPr>
          <w:rFonts w:ascii="Times New Roman" w:hAnsi="Times New Roman"/>
          <w:color w:val="000000"/>
          <w:sz w:val="24"/>
          <w:szCs w:val="24"/>
        </w:rPr>
        <w:t xml:space="preserve">Doprovodný program – koncepce doprovodného programu </w:t>
      </w:r>
    </w:p>
    <w:p w:rsidR="00D009CA" w:rsidRPr="00B26C94" w:rsidRDefault="00D009CA" w:rsidP="00D009CA">
      <w:pPr>
        <w:pStyle w:val="Odstavecseseznamem"/>
        <w:numPr>
          <w:ilvl w:val="0"/>
          <w:numId w:val="5"/>
        </w:numPr>
        <w:spacing w:line="276" w:lineRule="auto"/>
        <w:jc w:val="both"/>
        <w:rPr>
          <w:rFonts w:ascii="Times New Roman" w:hAnsi="Times New Roman"/>
          <w:sz w:val="24"/>
          <w:szCs w:val="24"/>
        </w:rPr>
      </w:pPr>
      <w:r w:rsidRPr="00B26C94">
        <w:rPr>
          <w:rFonts w:ascii="Times New Roman" w:hAnsi="Times New Roman"/>
          <w:color w:val="000000"/>
          <w:sz w:val="24"/>
          <w:szCs w:val="24"/>
        </w:rPr>
        <w:t xml:space="preserve">Rozsah a kvalita navrhovaného vybavení pro zajištění FT </w:t>
      </w:r>
    </w:p>
    <w:p w:rsidR="00D009CA" w:rsidRPr="00B26C94" w:rsidRDefault="00D009CA" w:rsidP="00D009CA">
      <w:pPr>
        <w:pStyle w:val="Odstavecseseznamem"/>
        <w:numPr>
          <w:ilvl w:val="0"/>
          <w:numId w:val="5"/>
        </w:numPr>
        <w:spacing w:line="276" w:lineRule="auto"/>
        <w:jc w:val="both"/>
        <w:rPr>
          <w:rFonts w:ascii="Times New Roman" w:hAnsi="Times New Roman"/>
          <w:sz w:val="24"/>
          <w:szCs w:val="24"/>
        </w:rPr>
      </w:pPr>
      <w:r w:rsidRPr="00B26C94">
        <w:rPr>
          <w:rFonts w:ascii="Times New Roman" w:hAnsi="Times New Roman"/>
          <w:color w:val="000000"/>
          <w:sz w:val="24"/>
          <w:szCs w:val="24"/>
        </w:rPr>
        <w:t xml:space="preserve">Způsob a rozsah zajišťování propagace </w:t>
      </w:r>
    </w:p>
    <w:p w:rsidR="00D009CA" w:rsidRPr="00B26C94" w:rsidRDefault="00D009CA" w:rsidP="00D009CA">
      <w:pPr>
        <w:pStyle w:val="Odstavecseseznamem"/>
        <w:numPr>
          <w:ilvl w:val="0"/>
          <w:numId w:val="5"/>
        </w:numPr>
        <w:spacing w:line="276" w:lineRule="auto"/>
        <w:jc w:val="both"/>
        <w:rPr>
          <w:rFonts w:ascii="Times New Roman" w:hAnsi="Times New Roman"/>
          <w:sz w:val="24"/>
          <w:szCs w:val="24"/>
        </w:rPr>
      </w:pPr>
      <w:r w:rsidRPr="00B26C94">
        <w:rPr>
          <w:rFonts w:ascii="Times New Roman" w:hAnsi="Times New Roman"/>
          <w:color w:val="000000"/>
          <w:sz w:val="24"/>
          <w:szCs w:val="24"/>
        </w:rPr>
        <w:t>Rozvržení prodejních stánků (účastník výběrového řízení použije Přílohu č. 5)</w:t>
      </w:r>
    </w:p>
    <w:p w:rsidR="00D009CA" w:rsidRPr="00B26C94" w:rsidRDefault="00D009CA" w:rsidP="00D009CA">
      <w:pPr>
        <w:spacing w:line="276" w:lineRule="auto"/>
        <w:rPr>
          <w:b/>
          <w:color w:val="000000"/>
        </w:rPr>
      </w:pPr>
      <w:r w:rsidRPr="00B26C94">
        <w:rPr>
          <w:b/>
          <w:color w:val="000000"/>
        </w:rPr>
        <w:t>2/</w:t>
      </w:r>
      <w:r w:rsidRPr="00B26C94">
        <w:rPr>
          <w:color w:val="000000"/>
        </w:rPr>
        <w:t xml:space="preserve"> </w:t>
      </w:r>
      <w:r w:rsidRPr="00B26C94">
        <w:rPr>
          <w:b/>
          <w:color w:val="000000"/>
        </w:rPr>
        <w:t>Reference</w:t>
      </w:r>
      <w:r w:rsidRPr="00B26C94">
        <w:rPr>
          <w:b/>
          <w:color w:val="000000"/>
        </w:rPr>
        <w:tab/>
      </w:r>
      <w:r w:rsidRPr="00B26C94">
        <w:rPr>
          <w:b/>
          <w:color w:val="000000"/>
        </w:rPr>
        <w:tab/>
      </w:r>
      <w:r w:rsidRPr="00B26C94">
        <w:rPr>
          <w:b/>
          <w:color w:val="000000"/>
        </w:rPr>
        <w:tab/>
      </w:r>
      <w:r w:rsidRPr="00B26C94">
        <w:rPr>
          <w:b/>
          <w:color w:val="000000"/>
        </w:rPr>
        <w:tab/>
      </w:r>
      <w:r w:rsidRPr="00B26C94">
        <w:rPr>
          <w:b/>
          <w:color w:val="000000"/>
        </w:rPr>
        <w:tab/>
      </w:r>
      <w:r w:rsidRPr="00B26C94">
        <w:rPr>
          <w:b/>
          <w:color w:val="000000"/>
        </w:rPr>
        <w:tab/>
      </w:r>
      <w:r w:rsidRPr="00B26C94">
        <w:rPr>
          <w:b/>
          <w:color w:val="000000"/>
        </w:rPr>
        <w:tab/>
      </w:r>
      <w:r w:rsidRPr="00B26C94">
        <w:rPr>
          <w:b/>
          <w:color w:val="000000"/>
        </w:rPr>
        <w:tab/>
      </w:r>
      <w:r w:rsidRPr="00B26C94">
        <w:rPr>
          <w:b/>
          <w:color w:val="000000"/>
        </w:rPr>
        <w:tab/>
      </w:r>
      <w:r w:rsidR="00B26C94">
        <w:rPr>
          <w:b/>
          <w:color w:val="000000"/>
        </w:rPr>
        <w:tab/>
      </w:r>
      <w:r w:rsidRPr="00B26C94">
        <w:rPr>
          <w:b/>
          <w:color w:val="000000"/>
        </w:rPr>
        <w:t>30%</w:t>
      </w:r>
    </w:p>
    <w:p w:rsidR="00D009CA" w:rsidRPr="00B26C94" w:rsidRDefault="00D009CA" w:rsidP="00D009CA">
      <w:pPr>
        <w:pStyle w:val="Odstavecseseznamem"/>
        <w:numPr>
          <w:ilvl w:val="0"/>
          <w:numId w:val="7"/>
        </w:numPr>
        <w:spacing w:line="276" w:lineRule="auto"/>
        <w:rPr>
          <w:rFonts w:ascii="Times New Roman" w:hAnsi="Times New Roman"/>
          <w:b/>
          <w:color w:val="000000"/>
          <w:sz w:val="24"/>
          <w:szCs w:val="24"/>
        </w:rPr>
      </w:pPr>
      <w:r w:rsidRPr="00B26C94">
        <w:rPr>
          <w:rFonts w:ascii="Times New Roman" w:hAnsi="Times New Roman"/>
          <w:color w:val="000000"/>
          <w:sz w:val="24"/>
          <w:szCs w:val="24"/>
        </w:rPr>
        <w:t>Zkušenosti s pořádáním farmářských trhů</w:t>
      </w:r>
      <w:r w:rsidRPr="00B26C94">
        <w:rPr>
          <w:rFonts w:ascii="Times New Roman" w:hAnsi="Times New Roman"/>
          <w:color w:val="000000"/>
          <w:sz w:val="24"/>
          <w:szCs w:val="24"/>
        </w:rPr>
        <w:tab/>
      </w:r>
    </w:p>
    <w:p w:rsidR="00D009CA" w:rsidRPr="00B26C94" w:rsidRDefault="00D009CA" w:rsidP="00D009CA">
      <w:pPr>
        <w:pStyle w:val="Odstavecseseznamem"/>
        <w:numPr>
          <w:ilvl w:val="0"/>
          <w:numId w:val="7"/>
        </w:numPr>
        <w:spacing w:line="276" w:lineRule="auto"/>
        <w:rPr>
          <w:rFonts w:ascii="Times New Roman" w:hAnsi="Times New Roman"/>
          <w:b/>
          <w:color w:val="000000"/>
          <w:sz w:val="24"/>
          <w:szCs w:val="24"/>
        </w:rPr>
      </w:pPr>
      <w:r w:rsidRPr="00B26C94">
        <w:rPr>
          <w:rFonts w:ascii="Times New Roman" w:hAnsi="Times New Roman"/>
          <w:color w:val="000000"/>
          <w:sz w:val="24"/>
          <w:szCs w:val="24"/>
        </w:rPr>
        <w:t>Počet provedených trhů</w:t>
      </w:r>
    </w:p>
    <w:p w:rsidR="00D009CA" w:rsidRPr="00B26C94" w:rsidRDefault="00D009CA" w:rsidP="00D009CA">
      <w:pPr>
        <w:pStyle w:val="Odstavecseseznamem"/>
        <w:numPr>
          <w:ilvl w:val="0"/>
          <w:numId w:val="7"/>
        </w:numPr>
        <w:spacing w:line="276" w:lineRule="auto"/>
        <w:rPr>
          <w:rFonts w:ascii="Times New Roman" w:hAnsi="Times New Roman"/>
          <w:b/>
          <w:color w:val="000000"/>
          <w:sz w:val="24"/>
          <w:szCs w:val="24"/>
        </w:rPr>
      </w:pPr>
      <w:r w:rsidRPr="00B26C94">
        <w:rPr>
          <w:rFonts w:ascii="Times New Roman" w:hAnsi="Times New Roman"/>
          <w:color w:val="000000"/>
          <w:sz w:val="24"/>
          <w:szCs w:val="24"/>
        </w:rPr>
        <w:t>Počet realizovaných tržních dní na trhu podobné kapacity a charakteru</w:t>
      </w:r>
      <w:r w:rsidRPr="00B26C94">
        <w:rPr>
          <w:rFonts w:ascii="Times New Roman" w:hAnsi="Times New Roman"/>
          <w:color w:val="000000"/>
          <w:sz w:val="24"/>
          <w:szCs w:val="24"/>
        </w:rPr>
        <w:tab/>
      </w:r>
    </w:p>
    <w:p w:rsidR="00D009CA" w:rsidRPr="00B26C94" w:rsidRDefault="00D009CA" w:rsidP="00D009CA">
      <w:pPr>
        <w:spacing w:line="276" w:lineRule="auto"/>
        <w:jc w:val="both"/>
        <w:rPr>
          <w:b/>
          <w:color w:val="000000"/>
        </w:rPr>
      </w:pPr>
      <w:r w:rsidRPr="00B26C94">
        <w:rPr>
          <w:b/>
          <w:color w:val="000000"/>
        </w:rPr>
        <w:t>3/ Skladba sortimentu</w:t>
      </w:r>
      <w:r w:rsidRPr="00B26C94">
        <w:rPr>
          <w:b/>
          <w:color w:val="000000"/>
        </w:rPr>
        <w:tab/>
      </w:r>
      <w:r w:rsidRPr="00B26C94">
        <w:rPr>
          <w:b/>
          <w:color w:val="000000"/>
        </w:rPr>
        <w:tab/>
      </w:r>
      <w:r w:rsidRPr="00B26C94">
        <w:rPr>
          <w:b/>
          <w:color w:val="000000"/>
        </w:rPr>
        <w:tab/>
      </w:r>
      <w:r w:rsidRPr="00B26C94">
        <w:rPr>
          <w:b/>
          <w:color w:val="000000"/>
        </w:rPr>
        <w:tab/>
      </w:r>
      <w:r w:rsidRPr="00B26C94">
        <w:rPr>
          <w:b/>
          <w:color w:val="000000"/>
        </w:rPr>
        <w:tab/>
      </w:r>
      <w:r w:rsidRPr="00B26C94">
        <w:rPr>
          <w:b/>
          <w:color w:val="000000"/>
        </w:rPr>
        <w:tab/>
      </w:r>
      <w:r w:rsidRPr="00B26C94">
        <w:rPr>
          <w:b/>
          <w:color w:val="000000"/>
        </w:rPr>
        <w:tab/>
      </w:r>
      <w:r w:rsidRPr="00B26C94">
        <w:rPr>
          <w:b/>
          <w:color w:val="000000"/>
        </w:rPr>
        <w:tab/>
        <w:t>30%</w:t>
      </w:r>
    </w:p>
    <w:p w:rsidR="00D009CA" w:rsidRPr="00B26C94" w:rsidRDefault="00D009CA" w:rsidP="00D009CA">
      <w:pPr>
        <w:spacing w:line="276" w:lineRule="auto"/>
        <w:jc w:val="both"/>
        <w:rPr>
          <w:b/>
          <w:color w:val="000000"/>
        </w:rPr>
      </w:pPr>
    </w:p>
    <w:p w:rsidR="00D009CA" w:rsidRPr="00B26C94" w:rsidRDefault="00D009CA" w:rsidP="00D009CA">
      <w:pPr>
        <w:spacing w:line="276" w:lineRule="auto"/>
        <w:jc w:val="both"/>
        <w:rPr>
          <w:u w:val="single"/>
        </w:rPr>
      </w:pPr>
      <w:r w:rsidRPr="00B26C94">
        <w:rPr>
          <w:u w:val="single"/>
        </w:rPr>
        <w:t>Při výběru provozovatele bude rozhodovat:</w:t>
      </w:r>
    </w:p>
    <w:p w:rsidR="00D009CA" w:rsidRPr="00B26C94" w:rsidRDefault="00D009CA" w:rsidP="00D009CA">
      <w:pPr>
        <w:pStyle w:val="Odstavecseseznamem"/>
        <w:numPr>
          <w:ilvl w:val="0"/>
          <w:numId w:val="2"/>
        </w:numPr>
        <w:spacing w:line="276" w:lineRule="auto"/>
        <w:jc w:val="both"/>
        <w:rPr>
          <w:rFonts w:ascii="Times New Roman" w:hAnsi="Times New Roman"/>
          <w:sz w:val="24"/>
          <w:szCs w:val="24"/>
          <w:u w:val="single"/>
        </w:rPr>
      </w:pPr>
      <w:r w:rsidRPr="00B26C94">
        <w:rPr>
          <w:rFonts w:ascii="Times New Roman" w:hAnsi="Times New Roman"/>
          <w:sz w:val="24"/>
          <w:szCs w:val="24"/>
          <w:u w:val="single"/>
        </w:rPr>
        <w:t>Celková koncepce FT – váha</w:t>
      </w:r>
      <w:r w:rsidRPr="00B26C94">
        <w:rPr>
          <w:rFonts w:ascii="Times New Roman" w:hAnsi="Times New Roman"/>
          <w:sz w:val="24"/>
          <w:szCs w:val="24"/>
        </w:rPr>
        <w:t xml:space="preserve"> 40 % v celkovém hodnocení;</w:t>
      </w:r>
    </w:p>
    <w:p w:rsidR="00D009CA" w:rsidRPr="00B26C94" w:rsidRDefault="00D009CA" w:rsidP="00D009CA">
      <w:pPr>
        <w:pStyle w:val="Odstavecseseznamem"/>
        <w:numPr>
          <w:ilvl w:val="0"/>
          <w:numId w:val="2"/>
        </w:numPr>
        <w:spacing w:line="276" w:lineRule="auto"/>
        <w:jc w:val="both"/>
        <w:rPr>
          <w:rFonts w:ascii="Times New Roman" w:hAnsi="Times New Roman"/>
          <w:sz w:val="24"/>
          <w:szCs w:val="24"/>
        </w:rPr>
      </w:pPr>
      <w:r w:rsidRPr="00B26C94">
        <w:rPr>
          <w:rFonts w:ascii="Times New Roman" w:hAnsi="Times New Roman"/>
          <w:sz w:val="24"/>
          <w:szCs w:val="24"/>
          <w:u w:val="single"/>
        </w:rPr>
        <w:t>Reference</w:t>
      </w:r>
      <w:r w:rsidRPr="00B26C94">
        <w:rPr>
          <w:rFonts w:ascii="Times New Roman" w:hAnsi="Times New Roman"/>
          <w:sz w:val="24"/>
          <w:szCs w:val="24"/>
        </w:rPr>
        <w:t xml:space="preserve"> – váha 30 % v celkovém hodnocení;</w:t>
      </w:r>
    </w:p>
    <w:p w:rsidR="00D009CA" w:rsidRPr="00B26C94" w:rsidRDefault="00D009CA" w:rsidP="00D009CA">
      <w:pPr>
        <w:pStyle w:val="Odstavecseseznamem"/>
        <w:numPr>
          <w:ilvl w:val="0"/>
          <w:numId w:val="2"/>
        </w:numPr>
        <w:spacing w:line="276" w:lineRule="auto"/>
        <w:jc w:val="both"/>
        <w:rPr>
          <w:rFonts w:ascii="Times New Roman" w:hAnsi="Times New Roman"/>
          <w:sz w:val="24"/>
          <w:szCs w:val="24"/>
        </w:rPr>
      </w:pPr>
      <w:r w:rsidRPr="00B26C94">
        <w:rPr>
          <w:rFonts w:ascii="Times New Roman" w:hAnsi="Times New Roman"/>
          <w:sz w:val="24"/>
          <w:szCs w:val="24"/>
          <w:u w:val="single"/>
        </w:rPr>
        <w:t>Skladba sortimentu</w:t>
      </w:r>
      <w:r w:rsidRPr="00B26C94">
        <w:rPr>
          <w:rFonts w:ascii="Times New Roman" w:hAnsi="Times New Roman"/>
          <w:sz w:val="24"/>
          <w:szCs w:val="24"/>
        </w:rPr>
        <w:t xml:space="preserve"> – váha 30 % v celkovém hodnocení.</w:t>
      </w:r>
    </w:p>
    <w:p w:rsidR="00D009CA" w:rsidRPr="00B26C94" w:rsidRDefault="00D009CA" w:rsidP="00D009CA">
      <w:pPr>
        <w:spacing w:line="276" w:lineRule="auto"/>
        <w:jc w:val="both"/>
      </w:pPr>
      <w:r w:rsidRPr="00B26C94">
        <w:t>Výběrová komise provede hodnocení tak, že každé nabídce přiřadí bodové ohodnocení v rozsahu 1–10 bodů.</w:t>
      </w:r>
    </w:p>
    <w:p w:rsidR="00D009CA" w:rsidRPr="00BF3528" w:rsidRDefault="00D009CA" w:rsidP="00D009CA">
      <w:pPr>
        <w:spacing w:line="276" w:lineRule="auto"/>
        <w:jc w:val="both"/>
        <w:rPr>
          <w:rFonts w:ascii="Arial" w:hAnsi="Arial" w:cs="Arial"/>
          <w:u w:val="single"/>
        </w:rPr>
      </w:pPr>
    </w:p>
    <w:p w:rsidR="00D009CA" w:rsidRDefault="00D009CA" w:rsidP="00D009CA">
      <w:pPr>
        <w:pStyle w:val="Odstavecseseznamem"/>
        <w:numPr>
          <w:ilvl w:val="0"/>
          <w:numId w:val="3"/>
        </w:numPr>
        <w:spacing w:line="276" w:lineRule="auto"/>
        <w:jc w:val="both"/>
        <w:rPr>
          <w:rFonts w:ascii="Times New Roman" w:hAnsi="Times New Roman"/>
          <w:sz w:val="24"/>
          <w:szCs w:val="24"/>
        </w:rPr>
      </w:pPr>
      <w:r w:rsidRPr="00B26C94">
        <w:rPr>
          <w:rFonts w:ascii="Times New Roman" w:hAnsi="Times New Roman"/>
          <w:sz w:val="24"/>
          <w:szCs w:val="24"/>
        </w:rPr>
        <w:t xml:space="preserve">Jako nejvhodnější bude v rámci kvalitativního hodnotícího kritéria </w:t>
      </w:r>
      <w:r w:rsidRPr="00B26C94">
        <w:rPr>
          <w:rFonts w:ascii="Times New Roman" w:hAnsi="Times New Roman"/>
          <w:b/>
          <w:sz w:val="24"/>
          <w:szCs w:val="24"/>
        </w:rPr>
        <w:t>Celková koncepce FT</w:t>
      </w:r>
      <w:r w:rsidRPr="00B26C94">
        <w:rPr>
          <w:rFonts w:ascii="Times New Roman" w:hAnsi="Times New Roman"/>
          <w:sz w:val="24"/>
          <w:szCs w:val="24"/>
        </w:rPr>
        <w:t xml:space="preserve"> hodnocena nabídka s nejvyšším počtem bodů získaných od hodnotící komise. Nabídkám pak budou v rámci tohoto dílčího hodnotícího kritéria přiděleny body podle níže uvedeného vzorce:</w:t>
      </w:r>
    </w:p>
    <w:p w:rsidR="003829B4" w:rsidRDefault="003829B4" w:rsidP="003829B4">
      <w:pPr>
        <w:spacing w:line="276" w:lineRule="auto"/>
        <w:ind w:left="708"/>
        <w:jc w:val="both"/>
      </w:pPr>
    </w:p>
    <w:p w:rsidR="003829B4" w:rsidRPr="003829B4" w:rsidRDefault="003829B4" w:rsidP="003829B4">
      <w:pPr>
        <w:spacing w:line="276" w:lineRule="auto"/>
        <w:ind w:left="708"/>
        <w:jc w:val="both"/>
        <w:rPr>
          <w:b/>
          <w:sz w:val="16"/>
          <w:szCs w:val="16"/>
        </w:rPr>
      </w:pPr>
      <m:oMathPara>
        <m:oMath>
          <m:r>
            <m:rPr>
              <m:sty m:val="bi"/>
            </m:rPr>
            <w:rPr>
              <w:rFonts w:ascii="Cambria Math" w:hAnsi="Cambria Math" w:cs="Cambria Math"/>
              <w:sz w:val="16"/>
              <w:szCs w:val="16"/>
            </w:rPr>
            <m:t>100×</m:t>
          </m:r>
          <m:f>
            <m:fPr>
              <m:ctrlPr>
                <w:rPr>
                  <w:rFonts w:ascii="Cambria Math" w:hAnsi="Cambria Math"/>
                  <w:b/>
                  <w:sz w:val="16"/>
                  <w:szCs w:val="16"/>
                </w:rPr>
              </m:ctrlPr>
            </m:fPr>
            <m:num>
              <m:r>
                <m:rPr>
                  <m:sty m:val="bi"/>
                </m:rPr>
                <w:rPr>
                  <w:rFonts w:ascii="Cambria Math" w:hAnsi="Cambria Math" w:cs="Cambria Math"/>
                  <w:sz w:val="16"/>
                  <w:szCs w:val="16"/>
                </w:rPr>
                <m:t>počet bodů hodnocené nabídky</m:t>
              </m:r>
            </m:num>
            <m:den>
              <m:r>
                <m:rPr>
                  <m:sty m:val="b"/>
                </m:rPr>
                <w:rPr>
                  <w:rFonts w:ascii="Cambria Math" w:hAnsi="Cambria Math" w:cs="Cambria Math"/>
                  <w:sz w:val="16"/>
                  <w:szCs w:val="16"/>
                </w:rPr>
                <m:t>počet bodů nejlépe bodově ohodnocené nabídky</m:t>
              </m:r>
            </m:den>
          </m:f>
          <m:r>
            <m:rPr>
              <m:sty m:val="bi"/>
            </m:rPr>
            <w:rPr>
              <w:rFonts w:ascii="Cambria Math" w:hAnsi="Cambria Math" w:cs="Cambria Math"/>
              <w:sz w:val="16"/>
              <w:szCs w:val="16"/>
            </w:rPr>
            <m:t xml:space="preserve">×0,4 </m:t>
          </m:r>
          <m:d>
            <m:dPr>
              <m:ctrlPr>
                <w:rPr>
                  <w:rFonts w:ascii="Cambria Math" w:hAnsi="Cambria Math" w:cs="Cambria Math"/>
                  <w:b/>
                  <w:i/>
                  <w:sz w:val="16"/>
                  <w:szCs w:val="16"/>
                </w:rPr>
              </m:ctrlPr>
            </m:dPr>
            <m:e>
              <m:r>
                <m:rPr>
                  <m:sty m:val="bi"/>
                </m:rPr>
                <w:rPr>
                  <w:rFonts w:ascii="Cambria Math" w:hAnsi="Cambria Math" w:cs="Cambria Math"/>
                  <w:sz w:val="16"/>
                  <w:szCs w:val="16"/>
                </w:rPr>
                <m:t>váha 40%</m:t>
              </m:r>
            </m:e>
          </m:d>
          <m:r>
            <m:rPr>
              <m:sty m:val="bi"/>
            </m:rPr>
            <w:rPr>
              <w:rFonts w:ascii="Cambria Math" w:hAnsi="Cambria Math" w:cs="Cambria Math"/>
              <w:sz w:val="16"/>
              <w:szCs w:val="16"/>
            </w:rPr>
            <m:t>=počet bodů kvalitativního kritéria</m:t>
          </m:r>
        </m:oMath>
      </m:oMathPara>
    </w:p>
    <w:p w:rsidR="003829B4" w:rsidRDefault="003829B4" w:rsidP="003829B4">
      <w:pPr>
        <w:spacing w:line="276" w:lineRule="auto"/>
        <w:ind w:left="708"/>
        <w:jc w:val="both"/>
        <w:rPr>
          <w:sz w:val="16"/>
          <w:szCs w:val="16"/>
        </w:rPr>
      </w:pPr>
    </w:p>
    <w:p w:rsidR="003829B4" w:rsidRDefault="003829B4" w:rsidP="003829B4">
      <w:pPr>
        <w:spacing w:line="276" w:lineRule="auto"/>
        <w:ind w:left="708"/>
        <w:jc w:val="both"/>
        <w:rPr>
          <w:sz w:val="16"/>
          <w:szCs w:val="16"/>
        </w:rPr>
      </w:pPr>
    </w:p>
    <w:p w:rsidR="00D009CA" w:rsidRPr="00B26C94" w:rsidRDefault="00D009CA" w:rsidP="00D009CA">
      <w:pPr>
        <w:spacing w:line="276" w:lineRule="auto"/>
        <w:jc w:val="both"/>
        <w:rPr>
          <w:u w:val="single"/>
        </w:rPr>
      </w:pPr>
    </w:p>
    <w:p w:rsidR="00D009CA" w:rsidRPr="00B26C94" w:rsidRDefault="00D009CA" w:rsidP="00D009CA">
      <w:pPr>
        <w:pStyle w:val="Odstavecseseznamem"/>
        <w:numPr>
          <w:ilvl w:val="0"/>
          <w:numId w:val="3"/>
        </w:numPr>
        <w:spacing w:line="276" w:lineRule="auto"/>
        <w:jc w:val="both"/>
        <w:rPr>
          <w:rFonts w:ascii="Times New Roman" w:hAnsi="Times New Roman"/>
          <w:sz w:val="24"/>
          <w:szCs w:val="24"/>
        </w:rPr>
      </w:pPr>
      <w:r w:rsidRPr="00B26C94">
        <w:rPr>
          <w:rFonts w:ascii="Times New Roman" w:hAnsi="Times New Roman"/>
          <w:sz w:val="24"/>
          <w:szCs w:val="24"/>
        </w:rPr>
        <w:t xml:space="preserve">Jako nejvhodnější bude v rámci kvalitativního hodnotícího kritéria </w:t>
      </w:r>
      <w:r w:rsidRPr="00B26C94">
        <w:rPr>
          <w:rFonts w:ascii="Times New Roman" w:hAnsi="Times New Roman"/>
          <w:b/>
          <w:sz w:val="24"/>
          <w:szCs w:val="24"/>
        </w:rPr>
        <w:t>Reference</w:t>
      </w:r>
      <w:r w:rsidRPr="00B26C94">
        <w:rPr>
          <w:rFonts w:ascii="Times New Roman" w:hAnsi="Times New Roman"/>
          <w:sz w:val="24"/>
          <w:szCs w:val="24"/>
        </w:rPr>
        <w:t xml:space="preserve"> hodnocena nabídka s nejvyšším počtem bodů získaných od hodnotící komise. Nabídkám pak budou v rámci tohoto dílčího hodnotícího kritéria přiděleny body podle níže uvedeného vzorce:</w:t>
      </w:r>
    </w:p>
    <w:p w:rsidR="00D009CA" w:rsidRPr="00BF3528" w:rsidRDefault="003829B4" w:rsidP="00D009CA">
      <w:pPr>
        <w:spacing w:line="276" w:lineRule="auto"/>
        <w:jc w:val="both"/>
        <w:rPr>
          <w:rFonts w:ascii="Arial" w:hAnsi="Arial" w:cs="Arial"/>
        </w:rPr>
      </w:pPr>
      <m:oMathPara>
        <m:oMath>
          <m:r>
            <m:rPr>
              <m:sty m:val="bi"/>
            </m:rPr>
            <w:rPr>
              <w:rFonts w:ascii="Cambria Math" w:hAnsi="Cambria Math" w:cs="Cambria Math"/>
              <w:sz w:val="16"/>
              <w:szCs w:val="16"/>
            </w:rPr>
            <w:lastRenderedPageBreak/>
            <m:t>100×</m:t>
          </m:r>
          <m:f>
            <m:fPr>
              <m:ctrlPr>
                <w:rPr>
                  <w:rFonts w:ascii="Cambria Math" w:hAnsi="Cambria Math"/>
                  <w:b/>
                  <w:sz w:val="16"/>
                  <w:szCs w:val="16"/>
                </w:rPr>
              </m:ctrlPr>
            </m:fPr>
            <m:num>
              <m:r>
                <m:rPr>
                  <m:sty m:val="bi"/>
                </m:rPr>
                <w:rPr>
                  <w:rFonts w:ascii="Cambria Math" w:hAnsi="Cambria Math" w:cs="Cambria Math"/>
                  <w:sz w:val="16"/>
                  <w:szCs w:val="16"/>
                </w:rPr>
                <m:t>počet bodů hodnocené nabídky</m:t>
              </m:r>
            </m:num>
            <m:den>
              <m:r>
                <m:rPr>
                  <m:sty m:val="b"/>
                </m:rPr>
                <w:rPr>
                  <w:rFonts w:ascii="Cambria Math" w:hAnsi="Cambria Math" w:cs="Cambria Math"/>
                  <w:sz w:val="16"/>
                  <w:szCs w:val="16"/>
                </w:rPr>
                <m:t>počet bodů nejlépe bodově ohodnocené nabídky</m:t>
              </m:r>
            </m:den>
          </m:f>
          <m:r>
            <m:rPr>
              <m:sty m:val="bi"/>
            </m:rPr>
            <w:rPr>
              <w:rFonts w:ascii="Cambria Math" w:hAnsi="Cambria Math" w:cs="Cambria Math"/>
              <w:sz w:val="16"/>
              <w:szCs w:val="16"/>
            </w:rPr>
            <m:t xml:space="preserve">×0,3 </m:t>
          </m:r>
          <m:d>
            <m:dPr>
              <m:ctrlPr>
                <w:rPr>
                  <w:rFonts w:ascii="Cambria Math" w:hAnsi="Cambria Math" w:cs="Cambria Math"/>
                  <w:b/>
                  <w:i/>
                  <w:sz w:val="16"/>
                  <w:szCs w:val="16"/>
                </w:rPr>
              </m:ctrlPr>
            </m:dPr>
            <m:e>
              <m:r>
                <m:rPr>
                  <m:sty m:val="bi"/>
                </m:rPr>
                <w:rPr>
                  <w:rFonts w:ascii="Cambria Math" w:hAnsi="Cambria Math" w:cs="Cambria Math"/>
                  <w:sz w:val="16"/>
                  <w:szCs w:val="16"/>
                </w:rPr>
                <m:t>váha 30%</m:t>
              </m:r>
            </m:e>
          </m:d>
          <m:r>
            <m:rPr>
              <m:sty m:val="bi"/>
            </m:rPr>
            <w:rPr>
              <w:rFonts w:ascii="Cambria Math" w:hAnsi="Cambria Math" w:cs="Cambria Math"/>
              <w:sz w:val="16"/>
              <w:szCs w:val="16"/>
            </w:rPr>
            <m:t>=počet bodů kvalitativního kritéria</m:t>
          </m:r>
        </m:oMath>
      </m:oMathPara>
    </w:p>
    <w:p w:rsidR="00D009CA" w:rsidRDefault="00D009CA" w:rsidP="00D009CA">
      <w:pPr>
        <w:spacing w:line="276" w:lineRule="auto"/>
        <w:jc w:val="both"/>
        <w:rPr>
          <w:rFonts w:ascii="Arial" w:hAnsi="Arial" w:cs="Arial"/>
        </w:rPr>
      </w:pPr>
    </w:p>
    <w:p w:rsidR="003829B4" w:rsidRPr="00BB03BD" w:rsidRDefault="003829B4" w:rsidP="00D009CA">
      <w:pPr>
        <w:spacing w:line="276" w:lineRule="auto"/>
        <w:jc w:val="both"/>
      </w:pPr>
    </w:p>
    <w:p w:rsidR="00D009CA" w:rsidRPr="00BB03BD" w:rsidRDefault="00D009CA" w:rsidP="00D009CA">
      <w:pPr>
        <w:pStyle w:val="Odstavecseseznamem"/>
        <w:numPr>
          <w:ilvl w:val="0"/>
          <w:numId w:val="3"/>
        </w:numPr>
        <w:spacing w:line="276" w:lineRule="auto"/>
        <w:jc w:val="both"/>
        <w:rPr>
          <w:rFonts w:ascii="Times New Roman" w:hAnsi="Times New Roman"/>
          <w:sz w:val="24"/>
          <w:szCs w:val="24"/>
        </w:rPr>
      </w:pPr>
      <w:r w:rsidRPr="00BB03BD">
        <w:rPr>
          <w:rFonts w:ascii="Times New Roman" w:hAnsi="Times New Roman"/>
          <w:sz w:val="24"/>
          <w:szCs w:val="24"/>
        </w:rPr>
        <w:t xml:space="preserve">Jako nejvhodnější bude v rámci kvalitativního hodnotícího kritéria </w:t>
      </w:r>
      <w:r w:rsidRPr="00BB03BD">
        <w:rPr>
          <w:rFonts w:ascii="Times New Roman" w:hAnsi="Times New Roman"/>
          <w:b/>
          <w:sz w:val="24"/>
          <w:szCs w:val="24"/>
        </w:rPr>
        <w:t xml:space="preserve">Skladba sortimentu </w:t>
      </w:r>
      <w:r w:rsidRPr="00BB03BD">
        <w:rPr>
          <w:rFonts w:ascii="Times New Roman" w:hAnsi="Times New Roman"/>
          <w:sz w:val="24"/>
          <w:szCs w:val="24"/>
        </w:rPr>
        <w:t>hodnocena nabídka s nejvyšším počtem bodů získaných od hodnotící komise. Nabídkám pak budou v rámci tohoto dílčího hodnotícího kritéria přiděleny body podle níže uvedeného vzorce:</w:t>
      </w:r>
    </w:p>
    <w:p w:rsidR="003829B4" w:rsidRPr="003829B4" w:rsidRDefault="003829B4" w:rsidP="003829B4">
      <w:pPr>
        <w:pStyle w:val="Odstavecseseznamem"/>
        <w:spacing w:line="276" w:lineRule="auto"/>
        <w:jc w:val="both"/>
        <w:rPr>
          <w:rFonts w:ascii="Arial" w:hAnsi="Arial" w:cs="Arial"/>
          <w:b/>
          <w:sz w:val="16"/>
          <w:szCs w:val="16"/>
        </w:rPr>
      </w:pPr>
    </w:p>
    <w:p w:rsidR="003829B4" w:rsidRPr="003829B4" w:rsidRDefault="003829B4" w:rsidP="003829B4">
      <w:pPr>
        <w:pStyle w:val="Odstavecseseznamem"/>
        <w:spacing w:line="276" w:lineRule="auto"/>
        <w:jc w:val="both"/>
        <w:rPr>
          <w:rFonts w:ascii="Arial" w:hAnsi="Arial" w:cs="Arial"/>
          <w:b/>
          <w:sz w:val="16"/>
          <w:szCs w:val="16"/>
        </w:rPr>
      </w:pPr>
    </w:p>
    <w:p w:rsidR="003829B4" w:rsidRPr="003829B4" w:rsidRDefault="003829B4" w:rsidP="003829B4">
      <w:pPr>
        <w:pStyle w:val="Odstavecseseznamem"/>
        <w:spacing w:line="276" w:lineRule="auto"/>
        <w:jc w:val="both"/>
        <w:rPr>
          <w:rFonts w:ascii="Arial" w:hAnsi="Arial" w:cs="Arial"/>
        </w:rPr>
      </w:pPr>
      <m:oMathPara>
        <m:oMath>
          <m:r>
            <m:rPr>
              <m:sty m:val="bi"/>
            </m:rPr>
            <w:rPr>
              <w:rFonts w:ascii="Cambria Math" w:hAnsi="Cambria Math" w:cs="Cambria Math"/>
              <w:sz w:val="16"/>
              <w:szCs w:val="16"/>
            </w:rPr>
            <m:t>100×</m:t>
          </m:r>
          <m:f>
            <m:fPr>
              <m:ctrlPr>
                <w:rPr>
                  <w:rFonts w:ascii="Cambria Math" w:hAnsi="Cambria Math"/>
                  <w:b/>
                  <w:sz w:val="16"/>
                  <w:szCs w:val="16"/>
                </w:rPr>
              </m:ctrlPr>
            </m:fPr>
            <m:num>
              <m:r>
                <m:rPr>
                  <m:sty m:val="bi"/>
                </m:rPr>
                <w:rPr>
                  <w:rFonts w:ascii="Cambria Math" w:hAnsi="Cambria Math" w:cs="Cambria Math"/>
                  <w:sz w:val="16"/>
                  <w:szCs w:val="16"/>
                </w:rPr>
                <m:t>počet bodů hodnocené nabídky</m:t>
              </m:r>
            </m:num>
            <m:den>
              <m:r>
                <m:rPr>
                  <m:sty m:val="b"/>
                </m:rPr>
                <w:rPr>
                  <w:rFonts w:ascii="Cambria Math" w:hAnsi="Cambria Math" w:cs="Cambria Math"/>
                  <w:sz w:val="16"/>
                  <w:szCs w:val="16"/>
                </w:rPr>
                <m:t>počet bodů nejlépe bodově ohodnocené nabídky</m:t>
              </m:r>
            </m:den>
          </m:f>
          <m:r>
            <m:rPr>
              <m:sty m:val="bi"/>
            </m:rPr>
            <w:rPr>
              <w:rFonts w:ascii="Cambria Math" w:hAnsi="Cambria Math" w:cs="Cambria Math"/>
              <w:sz w:val="16"/>
              <w:szCs w:val="16"/>
            </w:rPr>
            <m:t xml:space="preserve">×0,3 </m:t>
          </m:r>
          <m:d>
            <m:dPr>
              <m:ctrlPr>
                <w:rPr>
                  <w:rFonts w:ascii="Cambria Math" w:hAnsi="Cambria Math" w:cs="Cambria Math"/>
                  <w:b/>
                  <w:i/>
                  <w:sz w:val="16"/>
                  <w:szCs w:val="16"/>
                </w:rPr>
              </m:ctrlPr>
            </m:dPr>
            <m:e>
              <m:r>
                <m:rPr>
                  <m:sty m:val="bi"/>
                </m:rPr>
                <w:rPr>
                  <w:rFonts w:ascii="Cambria Math" w:hAnsi="Cambria Math" w:cs="Cambria Math"/>
                  <w:sz w:val="16"/>
                  <w:szCs w:val="16"/>
                </w:rPr>
                <m:t>váha 30%</m:t>
              </m:r>
            </m:e>
          </m:d>
          <m:r>
            <m:rPr>
              <m:sty m:val="bi"/>
            </m:rPr>
            <w:rPr>
              <w:rFonts w:ascii="Cambria Math" w:hAnsi="Cambria Math" w:cs="Cambria Math"/>
              <w:sz w:val="16"/>
              <w:szCs w:val="16"/>
            </w:rPr>
            <m:t>=počet bodů kvalitativního kritéria</m:t>
          </m:r>
        </m:oMath>
      </m:oMathPara>
    </w:p>
    <w:p w:rsidR="00D009CA" w:rsidRPr="00BF3528" w:rsidRDefault="00D009CA" w:rsidP="00D009CA">
      <w:pPr>
        <w:spacing w:line="276" w:lineRule="auto"/>
        <w:jc w:val="both"/>
        <w:rPr>
          <w:rFonts w:ascii="Arial" w:hAnsi="Arial" w:cs="Arial"/>
        </w:rPr>
      </w:pPr>
    </w:p>
    <w:p w:rsidR="00D009CA" w:rsidRPr="00BF3528" w:rsidRDefault="00D009CA" w:rsidP="00D009CA">
      <w:pPr>
        <w:spacing w:line="276" w:lineRule="auto"/>
        <w:jc w:val="both"/>
        <w:rPr>
          <w:rFonts w:ascii="Arial" w:hAnsi="Arial" w:cs="Arial"/>
          <w:u w:val="single"/>
        </w:rPr>
      </w:pPr>
    </w:p>
    <w:p w:rsidR="00D009CA" w:rsidRPr="003829B4" w:rsidRDefault="00D009CA" w:rsidP="00D009CA">
      <w:pPr>
        <w:spacing w:line="276" w:lineRule="auto"/>
        <w:jc w:val="both"/>
        <w:rPr>
          <w:b/>
          <w:u w:val="single"/>
        </w:rPr>
      </w:pPr>
      <w:r w:rsidRPr="003829B4">
        <w:rPr>
          <w:b/>
          <w:u w:val="single"/>
        </w:rPr>
        <w:t>Vítězem se stane ten zájemce, který dosáhne nejvyššího celkového počtu bodů způsobem, kdy budou každému účastníkovi výběrového řízení sečteny body získané ze všech výše uvedených kritérií (viz 1) a</w:t>
      </w:r>
      <w:r w:rsidR="003829B4">
        <w:rPr>
          <w:b/>
          <w:u w:val="single"/>
        </w:rPr>
        <w:t>ž</w:t>
      </w:r>
      <w:r w:rsidRPr="003829B4">
        <w:rPr>
          <w:b/>
          <w:u w:val="single"/>
        </w:rPr>
        <w:t xml:space="preserve"> 3)).</w:t>
      </w:r>
    </w:p>
    <w:p w:rsidR="00D009CA" w:rsidRPr="003829B4" w:rsidRDefault="00D009CA" w:rsidP="00D009CA">
      <w:pPr>
        <w:spacing w:line="276" w:lineRule="auto"/>
        <w:jc w:val="both"/>
      </w:pPr>
    </w:p>
    <w:p w:rsidR="00D009CA" w:rsidRPr="00D1134B" w:rsidRDefault="00D009CA" w:rsidP="00D009CA">
      <w:pPr>
        <w:spacing w:line="276" w:lineRule="auto"/>
        <w:jc w:val="both"/>
      </w:pPr>
      <w:r w:rsidRPr="003829B4">
        <w:t xml:space="preserve">Městská část Praha 10 upozorňuje na místní poplatek za užívání veřejného prostranství stanovený vyhláškou č. 5/2011 Sb. Hl. m. Prahy o místním poplatku za užívání veřejného prostranství, a na registrační (poplatkovou) povinnost podle zák. 565/1990 Sb., o místních </w:t>
      </w:r>
      <w:r w:rsidRPr="00D1134B">
        <w:t>poplatcích, oba ve znění pozdějších předpisů, které bude vybraný provozovatel hradit.</w:t>
      </w:r>
    </w:p>
    <w:p w:rsidR="00D009CA" w:rsidRPr="00D1134B" w:rsidRDefault="00D009CA" w:rsidP="00D009CA">
      <w:pPr>
        <w:spacing w:line="276" w:lineRule="auto"/>
        <w:jc w:val="both"/>
      </w:pPr>
    </w:p>
    <w:p w:rsidR="00D009CA" w:rsidRPr="00D1134B" w:rsidRDefault="00D009CA" w:rsidP="00D009CA">
      <w:pPr>
        <w:spacing w:line="276" w:lineRule="auto"/>
        <w:jc w:val="both"/>
      </w:pPr>
      <w:r w:rsidRPr="00D1134B">
        <w:t>Městská část Praha 10 si vyhrazuje právo:</w:t>
      </w:r>
    </w:p>
    <w:p w:rsidR="00D009CA" w:rsidRPr="00D1134B" w:rsidRDefault="00D009CA" w:rsidP="00D009CA">
      <w:pPr>
        <w:pStyle w:val="Odstavecseseznamem"/>
        <w:numPr>
          <w:ilvl w:val="0"/>
          <w:numId w:val="4"/>
        </w:numPr>
        <w:spacing w:line="276" w:lineRule="auto"/>
        <w:jc w:val="both"/>
        <w:rPr>
          <w:rFonts w:ascii="Times New Roman" w:hAnsi="Times New Roman"/>
          <w:sz w:val="24"/>
          <w:szCs w:val="24"/>
        </w:rPr>
      </w:pPr>
      <w:r w:rsidRPr="00D1134B">
        <w:rPr>
          <w:rFonts w:ascii="Times New Roman" w:hAnsi="Times New Roman"/>
          <w:sz w:val="24"/>
          <w:szCs w:val="24"/>
        </w:rPr>
        <w:t>odmítnout všechny nabídky bez uvedení důvodu;</w:t>
      </w:r>
    </w:p>
    <w:p w:rsidR="00D009CA" w:rsidRPr="00D1134B" w:rsidRDefault="00D009CA" w:rsidP="00D009CA">
      <w:pPr>
        <w:pStyle w:val="Odstavecseseznamem"/>
        <w:numPr>
          <w:ilvl w:val="0"/>
          <w:numId w:val="4"/>
        </w:numPr>
        <w:spacing w:line="276" w:lineRule="auto"/>
        <w:jc w:val="both"/>
        <w:rPr>
          <w:rFonts w:ascii="Times New Roman" w:hAnsi="Times New Roman"/>
          <w:sz w:val="24"/>
          <w:szCs w:val="24"/>
        </w:rPr>
      </w:pPr>
      <w:r w:rsidRPr="00D1134B">
        <w:rPr>
          <w:rFonts w:ascii="Times New Roman" w:hAnsi="Times New Roman"/>
          <w:sz w:val="24"/>
          <w:szCs w:val="24"/>
        </w:rPr>
        <w:t>před uzavřením nájemní smlouvy s vybraným uchazečem ověřit údaje předložené v nabídce;</w:t>
      </w:r>
    </w:p>
    <w:p w:rsidR="00D009CA" w:rsidRPr="00D1134B" w:rsidRDefault="00D009CA" w:rsidP="00D009CA">
      <w:pPr>
        <w:pStyle w:val="Odstavecseseznamem"/>
        <w:numPr>
          <w:ilvl w:val="0"/>
          <w:numId w:val="4"/>
        </w:numPr>
        <w:spacing w:line="276" w:lineRule="auto"/>
        <w:jc w:val="both"/>
        <w:rPr>
          <w:rFonts w:ascii="Times New Roman" w:hAnsi="Times New Roman"/>
          <w:sz w:val="24"/>
          <w:szCs w:val="24"/>
        </w:rPr>
      </w:pPr>
      <w:r w:rsidRPr="00D1134B">
        <w:rPr>
          <w:rFonts w:ascii="Times New Roman" w:hAnsi="Times New Roman"/>
          <w:sz w:val="24"/>
          <w:szCs w:val="24"/>
        </w:rPr>
        <w:t>vyloučit uchazeče, který nesplnil podmínky tohoto záměru, zejména neprokázal požadovanou kvalifikaci, jeho nabídka byla neúplná, neobjasnil svou nabídku v požadované lhůtě;</w:t>
      </w:r>
    </w:p>
    <w:p w:rsidR="00D009CA" w:rsidRPr="00654D00" w:rsidRDefault="00D009CA" w:rsidP="00D009CA">
      <w:pPr>
        <w:pStyle w:val="Odstavecseseznamem"/>
        <w:numPr>
          <w:ilvl w:val="0"/>
          <w:numId w:val="4"/>
        </w:numPr>
        <w:spacing w:line="276" w:lineRule="auto"/>
        <w:jc w:val="both"/>
        <w:rPr>
          <w:rFonts w:ascii="Times New Roman" w:hAnsi="Times New Roman"/>
          <w:sz w:val="24"/>
          <w:szCs w:val="24"/>
        </w:rPr>
      </w:pPr>
      <w:r w:rsidRPr="00D1134B">
        <w:rPr>
          <w:rFonts w:ascii="Times New Roman" w:hAnsi="Times New Roman"/>
          <w:sz w:val="24"/>
          <w:szCs w:val="24"/>
        </w:rPr>
        <w:t xml:space="preserve">jednat s vítězem o podmínkách nájemní smlouvy (které nejsou výslovně uvedeny </w:t>
      </w:r>
      <w:r w:rsidRPr="00654D00">
        <w:rPr>
          <w:rFonts w:ascii="Times New Roman" w:hAnsi="Times New Roman"/>
          <w:sz w:val="24"/>
          <w:szCs w:val="24"/>
        </w:rPr>
        <w:t>v tomto záměru).</w:t>
      </w:r>
    </w:p>
    <w:p w:rsidR="00D009CA" w:rsidRPr="00654D00" w:rsidRDefault="00D009CA" w:rsidP="00D009CA">
      <w:pPr>
        <w:spacing w:line="276" w:lineRule="auto"/>
        <w:jc w:val="both"/>
        <w:rPr>
          <w:b/>
        </w:rPr>
      </w:pPr>
      <w:r w:rsidRPr="00654D00">
        <w:rPr>
          <w:b/>
        </w:rPr>
        <w:t>MČ Praha 10 neposkytuje náhradu nákladů spojených s účastí v tomto výběrovém řízení.</w:t>
      </w:r>
    </w:p>
    <w:p w:rsidR="00D009CA" w:rsidRPr="00654D00" w:rsidRDefault="00D009CA" w:rsidP="00D009CA">
      <w:pPr>
        <w:spacing w:line="276" w:lineRule="auto"/>
        <w:jc w:val="both"/>
        <w:rPr>
          <w:sz w:val="22"/>
          <w:szCs w:val="22"/>
        </w:rPr>
      </w:pPr>
    </w:p>
    <w:p w:rsidR="00D009CA" w:rsidRPr="00654D00" w:rsidRDefault="00D009CA" w:rsidP="00D009CA">
      <w:pPr>
        <w:pStyle w:val="Odstavecseseznamem"/>
        <w:numPr>
          <w:ilvl w:val="0"/>
          <w:numId w:val="6"/>
        </w:numPr>
        <w:overflowPunct w:val="0"/>
        <w:adjustRightInd w:val="0"/>
        <w:spacing w:line="276" w:lineRule="auto"/>
        <w:jc w:val="both"/>
        <w:textAlignment w:val="baseline"/>
        <w:rPr>
          <w:rFonts w:ascii="Times New Roman" w:hAnsi="Times New Roman"/>
          <w:bCs/>
          <w:sz w:val="24"/>
          <w:szCs w:val="24"/>
          <w:u w:val="single"/>
        </w:rPr>
      </w:pPr>
      <w:r w:rsidRPr="00654D00">
        <w:rPr>
          <w:rFonts w:ascii="Times New Roman" w:hAnsi="Times New Roman"/>
          <w:b/>
          <w:bCs/>
          <w:sz w:val="24"/>
          <w:szCs w:val="24"/>
          <w:u w:val="single"/>
        </w:rPr>
        <w:t>Požadavky na prokázání kvalifikace</w:t>
      </w:r>
      <w:r w:rsidR="00363E71" w:rsidRPr="00654D00">
        <w:rPr>
          <w:rFonts w:ascii="Times New Roman" w:hAnsi="Times New Roman"/>
          <w:b/>
          <w:bCs/>
          <w:sz w:val="24"/>
          <w:szCs w:val="24"/>
          <w:u w:val="single"/>
        </w:rPr>
        <w:t xml:space="preserve"> </w:t>
      </w:r>
    </w:p>
    <w:p w:rsidR="00D009CA" w:rsidRPr="00654D00" w:rsidRDefault="00D009CA" w:rsidP="00D009CA">
      <w:pPr>
        <w:spacing w:line="276" w:lineRule="auto"/>
        <w:ind w:left="76"/>
        <w:jc w:val="both"/>
        <w:rPr>
          <w:bCs/>
          <w:u w:val="single"/>
        </w:rPr>
      </w:pPr>
      <w:r w:rsidRPr="00654D00">
        <w:rPr>
          <w:bCs/>
          <w:u w:val="single"/>
        </w:rPr>
        <w:t>MČ Praha 10 požaduje předložení:</w:t>
      </w:r>
    </w:p>
    <w:p w:rsidR="00D009CA" w:rsidRPr="00654D00" w:rsidRDefault="00D009CA" w:rsidP="00D009CA">
      <w:pPr>
        <w:numPr>
          <w:ilvl w:val="0"/>
          <w:numId w:val="1"/>
        </w:numPr>
        <w:spacing w:after="120" w:line="276" w:lineRule="auto"/>
        <w:ind w:left="431" w:hanging="357"/>
        <w:jc w:val="both"/>
        <w:rPr>
          <w:bCs/>
        </w:rPr>
      </w:pPr>
      <w:r w:rsidRPr="00654D00">
        <w:rPr>
          <w:bCs/>
        </w:rPr>
        <w:t xml:space="preserve">příslušného dokladu o oprávnění k podnikání, </w:t>
      </w:r>
      <w:r w:rsidRPr="00654D00">
        <w:t>tj. živnostenský list nebo jiný doklad opravňující k podnikání,</w:t>
      </w:r>
    </w:p>
    <w:p w:rsidR="00D009CA" w:rsidRPr="00654D00" w:rsidRDefault="00D009CA" w:rsidP="00D009CA">
      <w:pPr>
        <w:pStyle w:val="Odstavecseseznamem"/>
        <w:numPr>
          <w:ilvl w:val="0"/>
          <w:numId w:val="1"/>
        </w:numPr>
        <w:spacing w:before="120" w:line="276" w:lineRule="auto"/>
        <w:jc w:val="both"/>
        <w:rPr>
          <w:rFonts w:ascii="Times New Roman" w:hAnsi="Times New Roman"/>
          <w:bCs/>
          <w:iCs/>
          <w:sz w:val="24"/>
          <w:szCs w:val="24"/>
        </w:rPr>
      </w:pPr>
      <w:r w:rsidRPr="00654D00">
        <w:rPr>
          <w:rFonts w:ascii="Times New Roman" w:hAnsi="Times New Roman"/>
          <w:bCs/>
          <w:iCs/>
          <w:sz w:val="24"/>
          <w:szCs w:val="24"/>
        </w:rPr>
        <w:t>Čestné prohlášení, že provozovatel nebyl pravomocně odsouzen pro trestný čin uvedený v Příloze č. 3 ZZVZ, nemá splatné daňové nedoplatky, nemá splatný nedoplatek na pojistném či penále na veřejném zdravotním pojištění a stejně tak na sociálním zabezpečení a příspěvku na státní politiku zaměstnanosti a není v likvidaci.</w:t>
      </w:r>
      <w:bookmarkStart w:id="1" w:name="par53o2"/>
      <w:bookmarkEnd w:id="1"/>
    </w:p>
    <w:p w:rsidR="00D009CA" w:rsidRPr="00654D00" w:rsidRDefault="00D009CA" w:rsidP="00D009CA">
      <w:pPr>
        <w:spacing w:line="276" w:lineRule="auto"/>
        <w:jc w:val="both"/>
      </w:pPr>
      <w:r w:rsidRPr="00654D00">
        <w:lastRenderedPageBreak/>
        <w:t>Z obsahu čestného prohlášení musí být zřejmé, že dodavatel splňuje všechny příslušné podmínky základní způsobilosti požadované zadavatelem.</w:t>
      </w:r>
    </w:p>
    <w:p w:rsidR="00D009CA" w:rsidRPr="00654D00" w:rsidRDefault="00D009CA" w:rsidP="00D009CA">
      <w:pPr>
        <w:spacing w:line="276" w:lineRule="auto"/>
        <w:ind w:left="426"/>
        <w:jc w:val="both"/>
      </w:pPr>
    </w:p>
    <w:p w:rsidR="00D009CA" w:rsidRPr="00654D00" w:rsidRDefault="00D009CA" w:rsidP="00D009CA">
      <w:pPr>
        <w:spacing w:line="276" w:lineRule="auto"/>
        <w:jc w:val="both"/>
      </w:pPr>
      <w:r w:rsidRPr="00654D00">
        <w:t>Provozovatel v nabídce předloží podepsaný návrh smlouvy. Vzor smlouvy označí uchazeč jako návrh, podepíše a učiní součástí nabídky. Návrh smlouvy musí po obsahové stránce odpovídat podmínkám soutěže a obsahu nabídky uchazeče. Návrh smlouvy bude předložen též v elektronické formě. Pokud jedná jménem či za uchazeče zmocněnec na základě plné moci, musí být v nabídce za návrhem smlouvy předložena platná plná moc v originále nebo v úředně ověřené kopii. Všechny podmínky a požadavky zadavatele vymezené podmínkami soutěže budou součástí návrhu smlouvy.</w:t>
      </w:r>
    </w:p>
    <w:p w:rsidR="00D009CA" w:rsidRPr="00654D00" w:rsidRDefault="00D009CA" w:rsidP="00D009CA">
      <w:pPr>
        <w:spacing w:line="276" w:lineRule="auto"/>
        <w:rPr>
          <w:sz w:val="22"/>
          <w:szCs w:val="22"/>
        </w:rPr>
      </w:pPr>
    </w:p>
    <w:p w:rsidR="00D009CA" w:rsidRPr="00654D00" w:rsidRDefault="00D009CA" w:rsidP="00D009CA">
      <w:pPr>
        <w:spacing w:line="276" w:lineRule="auto"/>
        <w:rPr>
          <w:sz w:val="22"/>
          <w:szCs w:val="22"/>
        </w:rPr>
      </w:pPr>
    </w:p>
    <w:p w:rsidR="00D009CA" w:rsidRPr="00654D00" w:rsidRDefault="00D009CA" w:rsidP="00D009CA">
      <w:pPr>
        <w:pStyle w:val="Odstavecseseznamem"/>
        <w:numPr>
          <w:ilvl w:val="0"/>
          <w:numId w:val="6"/>
        </w:numPr>
        <w:overflowPunct w:val="0"/>
        <w:adjustRightInd w:val="0"/>
        <w:spacing w:line="276" w:lineRule="auto"/>
        <w:jc w:val="both"/>
        <w:textAlignment w:val="baseline"/>
        <w:rPr>
          <w:rFonts w:ascii="Times New Roman" w:hAnsi="Times New Roman"/>
          <w:b/>
          <w:bCs/>
          <w:sz w:val="24"/>
          <w:szCs w:val="24"/>
          <w:u w:val="single"/>
        </w:rPr>
      </w:pPr>
      <w:r w:rsidRPr="00654D00">
        <w:rPr>
          <w:rFonts w:ascii="Times New Roman" w:hAnsi="Times New Roman"/>
          <w:b/>
          <w:bCs/>
          <w:sz w:val="24"/>
          <w:szCs w:val="24"/>
          <w:u w:val="single"/>
        </w:rPr>
        <w:t xml:space="preserve">Lhůta a místo pro podání nabídek </w:t>
      </w:r>
    </w:p>
    <w:p w:rsidR="00D009CA" w:rsidRPr="00654D00" w:rsidRDefault="00D009CA" w:rsidP="00D009CA">
      <w:pPr>
        <w:adjustRightInd w:val="0"/>
        <w:spacing w:before="120" w:after="120" w:line="276" w:lineRule="auto"/>
        <w:jc w:val="both"/>
        <w:rPr>
          <w:color w:val="000000"/>
        </w:rPr>
      </w:pPr>
      <w:r w:rsidRPr="00654D00">
        <w:rPr>
          <w:color w:val="000000"/>
        </w:rPr>
        <w:t xml:space="preserve">Lhůta pro podání nabídek </w:t>
      </w:r>
      <w:r w:rsidRPr="00654D00">
        <w:rPr>
          <w:b/>
          <w:color w:val="000000"/>
        </w:rPr>
        <w:t>7. 3. 2019, do 10:00 hod</w:t>
      </w:r>
    </w:p>
    <w:p w:rsidR="00D009CA" w:rsidRPr="00654D00" w:rsidRDefault="00D009CA" w:rsidP="00D009CA">
      <w:pPr>
        <w:adjustRightInd w:val="0"/>
        <w:spacing w:before="120" w:after="120" w:line="276" w:lineRule="auto"/>
        <w:jc w:val="both"/>
      </w:pPr>
      <w:r w:rsidRPr="00654D00">
        <w:rPr>
          <w:color w:val="000000"/>
        </w:rPr>
        <w:t xml:space="preserve">Nabídky dodavatelé doručí doporučeně poštou, kurýrní službou nebo předají osobně a to výhradně </w:t>
      </w:r>
      <w:r w:rsidRPr="00654D00">
        <w:t xml:space="preserve">do podatelny ÚMČ Praha10 v pracovních dnech. </w:t>
      </w:r>
    </w:p>
    <w:p w:rsidR="00D009CA" w:rsidRPr="00654D00" w:rsidRDefault="00D009CA" w:rsidP="00D009CA">
      <w:pPr>
        <w:adjustRightInd w:val="0"/>
        <w:spacing w:before="120" w:after="120" w:line="276" w:lineRule="auto"/>
        <w:contextualSpacing/>
        <w:jc w:val="both"/>
      </w:pPr>
      <w:r w:rsidRPr="00654D00">
        <w:t>OTEVÍRACÍ DOBA PODATELNY:</w:t>
      </w:r>
    </w:p>
    <w:p w:rsidR="00D009CA" w:rsidRPr="00654D00" w:rsidRDefault="00D009CA" w:rsidP="00D009CA">
      <w:pPr>
        <w:adjustRightInd w:val="0"/>
        <w:spacing w:before="120" w:after="120" w:line="276" w:lineRule="auto"/>
        <w:contextualSpacing/>
        <w:jc w:val="both"/>
      </w:pPr>
      <w:r w:rsidRPr="00654D00">
        <w:t>PO</w:t>
      </w:r>
      <w:r w:rsidRPr="00654D00">
        <w:tab/>
        <w:t>8,00 - 17,30</w:t>
      </w:r>
    </w:p>
    <w:p w:rsidR="00D009CA" w:rsidRPr="00654D00" w:rsidRDefault="00D009CA" w:rsidP="00D009CA">
      <w:pPr>
        <w:adjustRightInd w:val="0"/>
        <w:spacing w:before="120" w:after="120" w:line="276" w:lineRule="auto"/>
        <w:contextualSpacing/>
        <w:jc w:val="both"/>
      </w:pPr>
      <w:r w:rsidRPr="00654D00">
        <w:t>ÚT</w:t>
      </w:r>
      <w:r w:rsidRPr="00654D00">
        <w:tab/>
        <w:t>8,00 - 15,00</w:t>
      </w:r>
    </w:p>
    <w:p w:rsidR="00D009CA" w:rsidRPr="00654D00" w:rsidRDefault="00D009CA" w:rsidP="00D009CA">
      <w:pPr>
        <w:adjustRightInd w:val="0"/>
        <w:spacing w:before="120" w:after="120" w:line="276" w:lineRule="auto"/>
        <w:contextualSpacing/>
        <w:jc w:val="both"/>
      </w:pPr>
      <w:r w:rsidRPr="00654D00">
        <w:t>ST</w:t>
      </w:r>
      <w:r w:rsidRPr="00654D00">
        <w:tab/>
        <w:t>8,00 - 17,30</w:t>
      </w:r>
    </w:p>
    <w:p w:rsidR="00D009CA" w:rsidRPr="00654D00" w:rsidRDefault="00D009CA" w:rsidP="00D009CA">
      <w:pPr>
        <w:adjustRightInd w:val="0"/>
        <w:spacing w:before="120" w:after="120" w:line="276" w:lineRule="auto"/>
        <w:contextualSpacing/>
        <w:jc w:val="both"/>
      </w:pPr>
      <w:r w:rsidRPr="00654D00">
        <w:t>ČT</w:t>
      </w:r>
      <w:r w:rsidRPr="00654D00">
        <w:tab/>
        <w:t>8,00 - 15,00</w:t>
      </w:r>
    </w:p>
    <w:p w:rsidR="00D009CA" w:rsidRPr="00654D00" w:rsidRDefault="00D009CA" w:rsidP="00D009CA">
      <w:pPr>
        <w:adjustRightInd w:val="0"/>
        <w:spacing w:before="120" w:after="120" w:line="276" w:lineRule="auto"/>
        <w:contextualSpacing/>
        <w:jc w:val="both"/>
      </w:pPr>
      <w:r w:rsidRPr="00654D00">
        <w:t>PÁ</w:t>
      </w:r>
      <w:r w:rsidRPr="00654D00">
        <w:tab/>
        <w:t>8,00 - 14,00</w:t>
      </w:r>
    </w:p>
    <w:p w:rsidR="00654D00" w:rsidRDefault="00654D00" w:rsidP="00D009CA">
      <w:pPr>
        <w:adjustRightInd w:val="0"/>
        <w:spacing w:before="120" w:after="120" w:line="276" w:lineRule="auto"/>
        <w:jc w:val="both"/>
        <w:rPr>
          <w:b/>
        </w:rPr>
      </w:pPr>
    </w:p>
    <w:p w:rsidR="00D009CA" w:rsidRPr="00654D00" w:rsidRDefault="00D009CA" w:rsidP="00D009CA">
      <w:pPr>
        <w:adjustRightInd w:val="0"/>
        <w:spacing w:before="120" w:after="120" w:line="276" w:lineRule="auto"/>
        <w:jc w:val="both"/>
        <w:rPr>
          <w:color w:val="000000"/>
        </w:rPr>
      </w:pPr>
      <w:r w:rsidRPr="00654D00">
        <w:rPr>
          <w:b/>
        </w:rPr>
        <w:t>V</w:t>
      </w:r>
      <w:r w:rsidRPr="00654D00">
        <w:rPr>
          <w:b/>
          <w:color w:val="000000"/>
        </w:rPr>
        <w:t xml:space="preserve"> poslední den lhůty pro podání nabídek však lze nabídku doručit nebo osobně předat nejpozději do 10:00 hod.</w:t>
      </w:r>
      <w:r w:rsidRPr="00654D00">
        <w:rPr>
          <w:color w:val="000000"/>
        </w:rPr>
        <w:t xml:space="preserve"> Při osobním předání nabídky bude dodavateli vydáno potvrzení o doručení nabídky s uvedením data a času doručení nabídky.</w:t>
      </w:r>
    </w:p>
    <w:p w:rsidR="00D009CA" w:rsidRPr="00654D00" w:rsidRDefault="00D009CA" w:rsidP="00D009CA">
      <w:pPr>
        <w:spacing w:before="120" w:line="276" w:lineRule="auto"/>
        <w:jc w:val="both"/>
        <w:rPr>
          <w:b/>
        </w:rPr>
      </w:pPr>
      <w:r w:rsidRPr="00654D00">
        <w:rPr>
          <w:b/>
        </w:rPr>
        <w:t>Na obálce nabídky musí být uveden název výběrového řízení a heslo „NABÍDKA – NEOTVÍRAT“. Na obálce musí být dále uvedeno obchodní jméno (firma) a adresa dodavatele.</w:t>
      </w:r>
    </w:p>
    <w:p w:rsidR="00D009CA" w:rsidRPr="00654D00" w:rsidRDefault="00D009CA" w:rsidP="00D009CA">
      <w:pPr>
        <w:spacing w:before="120" w:line="276" w:lineRule="auto"/>
        <w:jc w:val="both"/>
        <w:rPr>
          <w:b/>
        </w:rPr>
      </w:pPr>
      <w:r w:rsidRPr="00654D00">
        <w:rPr>
          <w:b/>
        </w:rPr>
        <w:t>VZOR OBÁLKY</w:t>
      </w:r>
    </w:p>
    <w:p w:rsidR="00D009CA" w:rsidRPr="00654D00" w:rsidRDefault="00D009CA" w:rsidP="00D009CA">
      <w:pPr>
        <w:pBdr>
          <w:top w:val="single" w:sz="4" w:space="1" w:color="auto"/>
          <w:left w:val="single" w:sz="4" w:space="4" w:color="auto"/>
          <w:bottom w:val="single" w:sz="4" w:space="1" w:color="auto"/>
          <w:right w:val="single" w:sz="4" w:space="4" w:color="auto"/>
        </w:pBdr>
        <w:spacing w:before="120" w:line="276" w:lineRule="auto"/>
        <w:jc w:val="both"/>
        <w:rPr>
          <w:b/>
        </w:rPr>
      </w:pPr>
      <w:r w:rsidRPr="00654D00">
        <w:rPr>
          <w:b/>
        </w:rPr>
        <w:t>Identifikační údaje dodavatele:</w:t>
      </w:r>
      <w:r w:rsidRPr="00654D00">
        <w:rPr>
          <w:b/>
        </w:rPr>
        <w:tab/>
      </w:r>
      <w:r w:rsidRPr="00654D00">
        <w:rPr>
          <w:b/>
        </w:rPr>
        <w:tab/>
      </w:r>
      <w:r w:rsidRPr="00654D00">
        <w:rPr>
          <w:b/>
        </w:rPr>
        <w:tab/>
      </w:r>
    </w:p>
    <w:p w:rsidR="00D009CA" w:rsidRPr="00654D00" w:rsidRDefault="00D009CA" w:rsidP="00D009CA">
      <w:pPr>
        <w:pBdr>
          <w:top w:val="single" w:sz="4" w:space="1" w:color="auto"/>
          <w:left w:val="single" w:sz="4" w:space="4" w:color="auto"/>
          <w:bottom w:val="single" w:sz="4" w:space="1" w:color="auto"/>
          <w:right w:val="single" w:sz="4" w:space="4" w:color="auto"/>
        </w:pBdr>
        <w:spacing w:before="120" w:line="276" w:lineRule="auto"/>
        <w:jc w:val="both"/>
        <w:rPr>
          <w:b/>
        </w:rPr>
      </w:pPr>
      <w:r w:rsidRPr="00654D00">
        <w:rPr>
          <w:b/>
        </w:rPr>
        <w:t>Identifikační údaje Zadavatele:</w:t>
      </w:r>
    </w:p>
    <w:p w:rsidR="00D009CA" w:rsidRPr="00654D00" w:rsidRDefault="00D009CA" w:rsidP="00D009CA">
      <w:pPr>
        <w:pBdr>
          <w:top w:val="single" w:sz="4" w:space="1" w:color="auto"/>
          <w:left w:val="single" w:sz="4" w:space="4" w:color="auto"/>
          <w:bottom w:val="single" w:sz="4" w:space="1" w:color="auto"/>
          <w:right w:val="single" w:sz="4" w:space="4" w:color="auto"/>
        </w:pBdr>
        <w:spacing w:before="120" w:line="276" w:lineRule="auto"/>
        <w:jc w:val="both"/>
        <w:rPr>
          <w:b/>
        </w:rPr>
      </w:pPr>
      <w:r w:rsidRPr="00654D00">
        <w:rPr>
          <w:b/>
        </w:rPr>
        <w:t>PROVOZOVATEL FARMÁŘSKÝCH TRHŮ</w:t>
      </w:r>
    </w:p>
    <w:p w:rsidR="00D009CA" w:rsidRPr="00654D00" w:rsidRDefault="00D009CA" w:rsidP="00D009CA">
      <w:pPr>
        <w:pBdr>
          <w:top w:val="single" w:sz="4" w:space="1" w:color="auto"/>
          <w:left w:val="single" w:sz="4" w:space="4" w:color="auto"/>
          <w:bottom w:val="single" w:sz="4" w:space="1" w:color="auto"/>
          <w:right w:val="single" w:sz="4" w:space="4" w:color="auto"/>
        </w:pBdr>
        <w:spacing w:before="120" w:line="276" w:lineRule="auto"/>
        <w:jc w:val="both"/>
        <w:rPr>
          <w:b/>
        </w:rPr>
      </w:pPr>
    </w:p>
    <w:p w:rsidR="00D009CA" w:rsidRPr="00654D00" w:rsidRDefault="00D009CA" w:rsidP="00D009CA">
      <w:pPr>
        <w:pBdr>
          <w:top w:val="single" w:sz="4" w:space="1" w:color="auto"/>
          <w:left w:val="single" w:sz="4" w:space="4" w:color="auto"/>
          <w:bottom w:val="single" w:sz="4" w:space="1" w:color="auto"/>
          <w:right w:val="single" w:sz="4" w:space="4" w:color="auto"/>
        </w:pBdr>
        <w:spacing w:before="120" w:line="276" w:lineRule="auto"/>
        <w:jc w:val="both"/>
        <w:rPr>
          <w:b/>
        </w:rPr>
      </w:pPr>
      <w:r w:rsidRPr="00654D00">
        <w:rPr>
          <w:b/>
        </w:rPr>
        <w:t>NEOTEVÍRAT</w:t>
      </w:r>
    </w:p>
    <w:p w:rsidR="00D009CA" w:rsidRPr="00654D00" w:rsidRDefault="00D009CA" w:rsidP="00D009CA">
      <w:pPr>
        <w:spacing w:line="276" w:lineRule="auto"/>
        <w:jc w:val="both"/>
        <w:rPr>
          <w:i/>
          <w:iCs/>
          <w:sz w:val="22"/>
          <w:szCs w:val="22"/>
        </w:rPr>
      </w:pPr>
    </w:p>
    <w:p w:rsidR="00D009CA" w:rsidRDefault="00D009CA" w:rsidP="00D009CA">
      <w:pPr>
        <w:spacing w:line="276" w:lineRule="auto"/>
        <w:jc w:val="both"/>
        <w:rPr>
          <w:sz w:val="22"/>
          <w:szCs w:val="22"/>
        </w:rPr>
      </w:pPr>
    </w:p>
    <w:p w:rsidR="00654D00" w:rsidRDefault="00654D00" w:rsidP="00D009CA">
      <w:pPr>
        <w:spacing w:line="276" w:lineRule="auto"/>
        <w:jc w:val="both"/>
        <w:rPr>
          <w:sz w:val="22"/>
          <w:szCs w:val="22"/>
        </w:rPr>
      </w:pPr>
    </w:p>
    <w:p w:rsidR="00654D00" w:rsidRDefault="00654D00" w:rsidP="00D009CA">
      <w:pPr>
        <w:spacing w:line="276" w:lineRule="auto"/>
        <w:jc w:val="both"/>
        <w:rPr>
          <w:sz w:val="22"/>
          <w:szCs w:val="22"/>
        </w:rPr>
      </w:pPr>
    </w:p>
    <w:p w:rsidR="00654D00" w:rsidRPr="00654D00" w:rsidRDefault="00654D00" w:rsidP="00D009CA">
      <w:pPr>
        <w:spacing w:line="276" w:lineRule="auto"/>
        <w:jc w:val="both"/>
        <w:rPr>
          <w:sz w:val="22"/>
          <w:szCs w:val="22"/>
        </w:rPr>
      </w:pPr>
    </w:p>
    <w:p w:rsidR="00D009CA" w:rsidRPr="00654D00" w:rsidRDefault="00D009CA" w:rsidP="00D009CA">
      <w:pPr>
        <w:pStyle w:val="Odstavecseseznamem"/>
        <w:numPr>
          <w:ilvl w:val="0"/>
          <w:numId w:val="6"/>
        </w:numPr>
        <w:overflowPunct w:val="0"/>
        <w:adjustRightInd w:val="0"/>
        <w:spacing w:line="276" w:lineRule="auto"/>
        <w:jc w:val="both"/>
        <w:textAlignment w:val="baseline"/>
        <w:rPr>
          <w:rFonts w:ascii="Times New Roman" w:hAnsi="Times New Roman"/>
          <w:b/>
          <w:bCs/>
          <w:sz w:val="24"/>
          <w:szCs w:val="24"/>
          <w:u w:val="single"/>
        </w:rPr>
      </w:pPr>
      <w:r w:rsidRPr="00654D00">
        <w:rPr>
          <w:rFonts w:ascii="Times New Roman" w:hAnsi="Times New Roman"/>
          <w:b/>
          <w:bCs/>
          <w:sz w:val="24"/>
          <w:szCs w:val="24"/>
          <w:u w:val="single"/>
        </w:rPr>
        <w:lastRenderedPageBreak/>
        <w:t>Základní informace o zadavateli</w:t>
      </w:r>
      <w:r w:rsidRPr="00654D00">
        <w:rPr>
          <w:rFonts w:ascii="Times New Roman" w:hAnsi="Times New Roman"/>
          <w:sz w:val="24"/>
          <w:szCs w:val="24"/>
        </w:rPr>
        <w:tab/>
      </w:r>
    </w:p>
    <w:p w:rsidR="00D009CA" w:rsidRPr="00654D00" w:rsidRDefault="00D009CA" w:rsidP="00D009CA">
      <w:pPr>
        <w:spacing w:line="276" w:lineRule="auto"/>
        <w:jc w:val="both"/>
      </w:pPr>
      <w:r w:rsidRPr="00654D00">
        <w:t>Městská část Praha 10</w:t>
      </w:r>
    </w:p>
    <w:p w:rsidR="00D009CA" w:rsidRPr="00654D00" w:rsidRDefault="00D009CA" w:rsidP="00D009CA">
      <w:pPr>
        <w:spacing w:line="276" w:lineRule="auto"/>
        <w:jc w:val="both"/>
      </w:pPr>
      <w:r w:rsidRPr="00654D00">
        <w:t>se sídlem Vršovická 68/1429, 101 38 Praha 10</w:t>
      </w:r>
    </w:p>
    <w:p w:rsidR="00D009CA" w:rsidRPr="00654D00" w:rsidRDefault="00D009CA" w:rsidP="00D009CA">
      <w:pPr>
        <w:spacing w:line="276" w:lineRule="auto"/>
        <w:jc w:val="both"/>
      </w:pPr>
      <w:r w:rsidRPr="00654D00">
        <w:t>IČ: 00063941</w:t>
      </w:r>
    </w:p>
    <w:p w:rsidR="00D009CA" w:rsidRPr="00654D00" w:rsidRDefault="00D009CA" w:rsidP="00D009CA">
      <w:pPr>
        <w:spacing w:line="276" w:lineRule="auto"/>
        <w:jc w:val="both"/>
      </w:pPr>
      <w:r w:rsidRPr="00654D00">
        <w:t>DIČ: CZ00063941</w:t>
      </w:r>
    </w:p>
    <w:p w:rsidR="00D009CA" w:rsidRPr="00654D00" w:rsidRDefault="00D009CA" w:rsidP="00D009CA">
      <w:pPr>
        <w:pStyle w:val="Textkomente"/>
        <w:spacing w:line="276" w:lineRule="auto"/>
      </w:pPr>
      <w:r w:rsidRPr="00654D00">
        <w:t>Zastoupená: paní Renatou Chmelovou, starostkou MČ Prahy 10</w:t>
      </w:r>
    </w:p>
    <w:p w:rsidR="00D009CA" w:rsidRPr="00654D00" w:rsidRDefault="00D009CA" w:rsidP="00D009CA">
      <w:pPr>
        <w:spacing w:line="276" w:lineRule="auto"/>
        <w:ind w:left="4536" w:hanging="4536"/>
        <w:jc w:val="both"/>
      </w:pPr>
      <w:r w:rsidRPr="00654D00">
        <w:t>osoba oprávněná k jednání ve věcech smluvních: Bc. Martin Pecánek</w:t>
      </w:r>
    </w:p>
    <w:p w:rsidR="00D009CA" w:rsidRPr="00654D00" w:rsidRDefault="00D009CA" w:rsidP="00D009CA">
      <w:pPr>
        <w:spacing w:line="276" w:lineRule="auto"/>
        <w:ind w:hanging="1417"/>
        <w:jc w:val="both"/>
        <w:rPr>
          <w:b/>
          <w:bCs/>
        </w:rPr>
      </w:pPr>
      <w:r w:rsidRPr="00654D00">
        <w:tab/>
        <w:t xml:space="preserve">kontaktní osoba pro věci technické: Ing. Jiří Procházka, tel. </w:t>
      </w:r>
      <w:r w:rsidRPr="00654D00">
        <w:rPr>
          <w:color w:val="333333"/>
          <w:shd w:val="clear" w:color="auto" w:fill="FFFFFF"/>
        </w:rPr>
        <w:t>267 093</w:t>
      </w:r>
      <w:r w:rsidRPr="00654D00">
        <w:t xml:space="preserve"> 410, e-mail: </w:t>
      </w:r>
      <w:r w:rsidRPr="00654D00">
        <w:rPr>
          <w:rStyle w:val="Hypertextovodkaz"/>
        </w:rPr>
        <w:t>jiri.prochazka@praha10.cz</w:t>
      </w:r>
    </w:p>
    <w:p w:rsidR="00D009CA" w:rsidRPr="00397546" w:rsidRDefault="00D009CA" w:rsidP="00D009CA">
      <w:pPr>
        <w:pStyle w:val="Prosttext"/>
        <w:tabs>
          <w:tab w:val="left" w:pos="7380"/>
        </w:tabs>
        <w:spacing w:line="276" w:lineRule="auto"/>
        <w:rPr>
          <w:rFonts w:ascii="Arial" w:hAnsi="Arial" w:cs="Arial"/>
          <w:sz w:val="24"/>
          <w:szCs w:val="24"/>
        </w:rPr>
      </w:pPr>
      <w:r w:rsidRPr="00654D00">
        <w:rPr>
          <w:rFonts w:ascii="Times New Roman" w:hAnsi="Times New Roman" w:cs="Times New Roman"/>
          <w:sz w:val="24"/>
          <w:szCs w:val="24"/>
        </w:rPr>
        <w:t xml:space="preserve">kontaktní osoba pro výběrové řízení: Bc. Petra Morávková MBA, tel.: </w:t>
      </w:r>
      <w:r w:rsidRPr="00654D00">
        <w:rPr>
          <w:rFonts w:ascii="Times New Roman" w:hAnsi="Times New Roman" w:cs="Times New Roman"/>
          <w:color w:val="333333"/>
          <w:sz w:val="24"/>
          <w:szCs w:val="24"/>
          <w:shd w:val="clear" w:color="auto" w:fill="FFFFFF"/>
        </w:rPr>
        <w:t>267 093 775</w:t>
      </w:r>
      <w:r w:rsidRPr="00654D00">
        <w:rPr>
          <w:rFonts w:ascii="Times New Roman" w:hAnsi="Times New Roman" w:cs="Times New Roman"/>
          <w:sz w:val="24"/>
          <w:szCs w:val="24"/>
        </w:rPr>
        <w:t xml:space="preserve">, e-mail: </w:t>
      </w:r>
      <w:hyperlink r:id="rId7" w:history="1">
        <w:r w:rsidRPr="00654D00">
          <w:rPr>
            <w:rStyle w:val="Hypertextovodkaz"/>
            <w:rFonts w:ascii="Times New Roman" w:hAnsi="Times New Roman" w:cs="Times New Roman"/>
            <w:sz w:val="24"/>
            <w:szCs w:val="24"/>
          </w:rPr>
          <w:t>petra.moravkova@praha10.cz</w:t>
        </w:r>
      </w:hyperlink>
      <w:r w:rsidRPr="00397546">
        <w:rPr>
          <w:rFonts w:ascii="Arial" w:hAnsi="Arial" w:cs="Arial"/>
          <w:sz w:val="24"/>
          <w:szCs w:val="24"/>
        </w:rPr>
        <w:tab/>
      </w:r>
    </w:p>
    <w:p w:rsidR="00D009CA" w:rsidRPr="00397546" w:rsidRDefault="00D009CA" w:rsidP="00D009CA">
      <w:pPr>
        <w:jc w:val="both"/>
        <w:rPr>
          <w:rFonts w:ascii="Arial" w:hAnsi="Arial" w:cs="Arial"/>
          <w:b/>
          <w:bCs/>
          <w:i/>
          <w:iCs/>
          <w:sz w:val="22"/>
          <w:szCs w:val="22"/>
        </w:rPr>
      </w:pPr>
    </w:p>
    <w:p w:rsidR="00D009CA" w:rsidRPr="00BF3528" w:rsidRDefault="00D009CA" w:rsidP="00D009CA">
      <w:pPr>
        <w:pStyle w:val="Zkladntext3"/>
        <w:rPr>
          <w:rFonts w:ascii="Arial" w:hAnsi="Arial" w:cs="Arial"/>
          <w:b w:val="0"/>
          <w:bCs w:val="0"/>
          <w:sz w:val="22"/>
          <w:szCs w:val="22"/>
          <w:u w:val="single"/>
        </w:rPr>
      </w:pPr>
    </w:p>
    <w:p w:rsidR="00D009CA" w:rsidRPr="00654D00" w:rsidRDefault="00D009CA" w:rsidP="00D009CA">
      <w:pPr>
        <w:pStyle w:val="Textvbloku"/>
        <w:jc w:val="both"/>
        <w:rPr>
          <w:rFonts w:ascii="Times New Roman" w:hAnsi="Times New Roman" w:cs="Times New Roman"/>
          <w:sz w:val="22"/>
          <w:szCs w:val="22"/>
        </w:rPr>
      </w:pPr>
    </w:p>
    <w:p w:rsidR="00D009CA" w:rsidRPr="00654D00" w:rsidRDefault="00D009CA" w:rsidP="00D009CA">
      <w:pPr>
        <w:tabs>
          <w:tab w:val="left" w:pos="360"/>
        </w:tabs>
        <w:ind w:right="-1"/>
      </w:pPr>
      <w:r w:rsidRPr="00654D00">
        <w:t>V Praze dne 13. 2. 2019</w:t>
      </w:r>
    </w:p>
    <w:p w:rsidR="00D009CA" w:rsidRPr="00654D00" w:rsidRDefault="00D009CA" w:rsidP="00D009CA">
      <w:pPr>
        <w:pStyle w:val="Textvbloku"/>
        <w:jc w:val="both"/>
        <w:rPr>
          <w:rFonts w:ascii="Times New Roman" w:hAnsi="Times New Roman" w:cs="Times New Roman"/>
          <w:sz w:val="24"/>
          <w:szCs w:val="24"/>
        </w:rPr>
      </w:pPr>
    </w:p>
    <w:p w:rsidR="00D009CA" w:rsidRPr="00654D00" w:rsidRDefault="00D009CA" w:rsidP="00D009CA">
      <w:pPr>
        <w:pStyle w:val="Textvbloku"/>
        <w:jc w:val="both"/>
        <w:rPr>
          <w:rFonts w:ascii="Times New Roman" w:hAnsi="Times New Roman" w:cs="Times New Roman"/>
          <w:sz w:val="24"/>
          <w:szCs w:val="24"/>
        </w:rPr>
      </w:pPr>
    </w:p>
    <w:p w:rsidR="00D009CA" w:rsidRPr="00654D00" w:rsidRDefault="00D009CA" w:rsidP="00D009CA">
      <w:pPr>
        <w:pStyle w:val="Textvbloku"/>
        <w:jc w:val="both"/>
        <w:rPr>
          <w:rFonts w:ascii="Times New Roman" w:hAnsi="Times New Roman" w:cs="Times New Roman"/>
          <w:sz w:val="24"/>
          <w:szCs w:val="24"/>
        </w:rPr>
      </w:pPr>
    </w:p>
    <w:p w:rsidR="00D009CA" w:rsidRPr="00654D00" w:rsidRDefault="00D009CA" w:rsidP="00D009CA">
      <w:pPr>
        <w:pStyle w:val="Textvbloku"/>
        <w:jc w:val="both"/>
        <w:rPr>
          <w:rFonts w:ascii="Times New Roman" w:hAnsi="Times New Roman" w:cs="Times New Roman"/>
          <w:sz w:val="24"/>
          <w:szCs w:val="24"/>
        </w:rPr>
      </w:pPr>
    </w:p>
    <w:p w:rsidR="00D009CA" w:rsidRPr="00654D00" w:rsidRDefault="00D009CA" w:rsidP="00D009CA">
      <w:pPr>
        <w:pStyle w:val="Textvbloku"/>
        <w:jc w:val="both"/>
        <w:rPr>
          <w:rFonts w:ascii="Times New Roman" w:hAnsi="Times New Roman" w:cs="Times New Roman"/>
          <w:sz w:val="24"/>
          <w:szCs w:val="24"/>
        </w:rPr>
      </w:pPr>
    </w:p>
    <w:p w:rsidR="00D009CA" w:rsidRPr="00654D00" w:rsidRDefault="00D009CA" w:rsidP="00D009CA">
      <w:pPr>
        <w:pStyle w:val="Textvbloku"/>
        <w:tabs>
          <w:tab w:val="center" w:pos="7371"/>
        </w:tabs>
        <w:ind w:left="0"/>
        <w:jc w:val="both"/>
        <w:rPr>
          <w:rFonts w:ascii="Times New Roman" w:hAnsi="Times New Roman" w:cs="Times New Roman"/>
          <w:sz w:val="24"/>
          <w:szCs w:val="24"/>
        </w:rPr>
      </w:pPr>
      <w:r w:rsidRPr="00654D00">
        <w:rPr>
          <w:rFonts w:ascii="Times New Roman" w:hAnsi="Times New Roman" w:cs="Times New Roman"/>
          <w:sz w:val="24"/>
          <w:szCs w:val="24"/>
        </w:rPr>
        <w:t xml:space="preserve"> </w:t>
      </w:r>
      <w:r w:rsidRPr="00654D00">
        <w:rPr>
          <w:rFonts w:ascii="Times New Roman" w:hAnsi="Times New Roman" w:cs="Times New Roman"/>
          <w:sz w:val="24"/>
          <w:szCs w:val="24"/>
        </w:rPr>
        <w:tab/>
      </w:r>
      <w:r w:rsidRPr="00654D00">
        <w:rPr>
          <w:rFonts w:ascii="Times New Roman" w:hAnsi="Times New Roman" w:cs="Times New Roman"/>
          <w:sz w:val="24"/>
          <w:szCs w:val="24"/>
        </w:rPr>
        <w:tab/>
      </w:r>
    </w:p>
    <w:p w:rsidR="00654D00" w:rsidRPr="00BF3528" w:rsidRDefault="00654D00" w:rsidP="00D009CA">
      <w:pPr>
        <w:pStyle w:val="Textvbloku"/>
        <w:tabs>
          <w:tab w:val="center" w:pos="7371"/>
        </w:tabs>
        <w:ind w:left="0"/>
        <w:jc w:val="both"/>
        <w:rPr>
          <w:rFonts w:ascii="Arial" w:hAnsi="Arial" w:cs="Arial"/>
          <w:sz w:val="24"/>
          <w:szCs w:val="24"/>
        </w:rPr>
      </w:pPr>
      <w:r>
        <w:rPr>
          <w:rFonts w:ascii="Arial" w:hAnsi="Arial" w:cs="Arial"/>
          <w:sz w:val="24"/>
          <w:szCs w:val="24"/>
        </w:rPr>
        <w:tab/>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tblGrid>
      <w:tr w:rsidR="00654D00" w:rsidRPr="00654D00" w:rsidTr="00B56897">
        <w:tc>
          <w:tcPr>
            <w:tcW w:w="3964" w:type="dxa"/>
            <w:tcBorders>
              <w:top w:val="dashed" w:sz="4" w:space="0" w:color="auto"/>
            </w:tcBorders>
          </w:tcPr>
          <w:p w:rsidR="00654D00" w:rsidRPr="00654D00" w:rsidRDefault="00654D00" w:rsidP="00B56897">
            <w:pPr>
              <w:spacing w:before="120"/>
              <w:jc w:val="center"/>
              <w:rPr>
                <w:b/>
              </w:rPr>
            </w:pPr>
            <w:r w:rsidRPr="00654D00">
              <w:rPr>
                <w:b/>
              </w:rPr>
              <w:t>Ing. Filip Koucký</w:t>
            </w:r>
          </w:p>
        </w:tc>
      </w:tr>
      <w:tr w:rsidR="00654D00" w:rsidRPr="00654D00" w:rsidTr="00B56897">
        <w:tc>
          <w:tcPr>
            <w:tcW w:w="3964" w:type="dxa"/>
          </w:tcPr>
          <w:p w:rsidR="00654D00" w:rsidRPr="00654D00" w:rsidRDefault="00654D00" w:rsidP="00B56897">
            <w:pPr>
              <w:spacing w:before="120"/>
              <w:jc w:val="center"/>
              <w:rPr>
                <w:b/>
              </w:rPr>
            </w:pPr>
            <w:r w:rsidRPr="00654D00">
              <w:rPr>
                <w:b/>
              </w:rPr>
              <w:t>Vedoucí odboru majetkoprávního</w:t>
            </w:r>
          </w:p>
        </w:tc>
      </w:tr>
      <w:tr w:rsidR="00654D00" w:rsidRPr="00654D00" w:rsidTr="00B56897">
        <w:tc>
          <w:tcPr>
            <w:tcW w:w="3964" w:type="dxa"/>
          </w:tcPr>
          <w:p w:rsidR="00654D00" w:rsidRPr="00654D00" w:rsidRDefault="00654D00" w:rsidP="00B56897">
            <w:pPr>
              <w:spacing w:before="120"/>
              <w:jc w:val="center"/>
              <w:rPr>
                <w:b/>
              </w:rPr>
            </w:pPr>
            <w:r w:rsidRPr="00654D00">
              <w:rPr>
                <w:b/>
              </w:rPr>
              <w:t>ÚMČ Praha 10</w:t>
            </w:r>
          </w:p>
        </w:tc>
      </w:tr>
    </w:tbl>
    <w:p w:rsidR="00D009CA" w:rsidRPr="00BF3528" w:rsidRDefault="00D009CA" w:rsidP="00D009CA">
      <w:pPr>
        <w:pStyle w:val="Textvbloku"/>
        <w:tabs>
          <w:tab w:val="center" w:pos="7371"/>
        </w:tabs>
        <w:ind w:left="0"/>
        <w:jc w:val="both"/>
        <w:rPr>
          <w:rFonts w:ascii="Arial" w:hAnsi="Arial" w:cs="Arial"/>
          <w:sz w:val="24"/>
          <w:szCs w:val="24"/>
        </w:rPr>
      </w:pPr>
    </w:p>
    <w:p w:rsidR="00D009CA" w:rsidRPr="00BF3528" w:rsidRDefault="00D009CA" w:rsidP="00D009CA">
      <w:pPr>
        <w:pStyle w:val="Textvbloku"/>
        <w:tabs>
          <w:tab w:val="center" w:pos="7371"/>
        </w:tabs>
        <w:ind w:left="0"/>
        <w:jc w:val="both"/>
        <w:rPr>
          <w:rFonts w:ascii="Arial" w:hAnsi="Arial" w:cs="Arial"/>
          <w:sz w:val="22"/>
          <w:szCs w:val="22"/>
        </w:rPr>
      </w:pPr>
    </w:p>
    <w:p w:rsidR="00D009CA" w:rsidRPr="00BF3528" w:rsidRDefault="00D009CA" w:rsidP="00D009CA">
      <w:pPr>
        <w:pStyle w:val="Textvbloku"/>
        <w:tabs>
          <w:tab w:val="center" w:pos="7371"/>
        </w:tabs>
        <w:ind w:left="0"/>
        <w:jc w:val="both"/>
        <w:rPr>
          <w:rFonts w:ascii="Arial" w:hAnsi="Arial" w:cs="Arial"/>
          <w:sz w:val="22"/>
          <w:szCs w:val="22"/>
        </w:rPr>
      </w:pPr>
    </w:p>
    <w:p w:rsidR="00D009CA" w:rsidRPr="00BF3528" w:rsidRDefault="00D009CA" w:rsidP="00D009CA">
      <w:pPr>
        <w:pStyle w:val="Nzev"/>
        <w:jc w:val="right"/>
        <w:rPr>
          <w:rFonts w:ascii="Arial" w:hAnsi="Arial" w:cs="Arial"/>
          <w:sz w:val="22"/>
          <w:szCs w:val="22"/>
        </w:rPr>
      </w:pPr>
    </w:p>
    <w:p w:rsidR="00D009CA" w:rsidRPr="00BF3528" w:rsidRDefault="00D009CA" w:rsidP="00D009CA">
      <w:pPr>
        <w:pStyle w:val="Nzev"/>
        <w:jc w:val="right"/>
        <w:rPr>
          <w:rFonts w:ascii="Arial" w:hAnsi="Arial" w:cs="Arial"/>
          <w:sz w:val="22"/>
          <w:szCs w:val="22"/>
        </w:rPr>
      </w:pPr>
    </w:p>
    <w:p w:rsidR="00D009CA" w:rsidRPr="00BF3528" w:rsidRDefault="00D009CA" w:rsidP="00D009CA">
      <w:pPr>
        <w:pStyle w:val="Nzev"/>
        <w:jc w:val="right"/>
        <w:rPr>
          <w:rFonts w:ascii="Arial" w:hAnsi="Arial" w:cs="Arial"/>
          <w:sz w:val="22"/>
          <w:szCs w:val="22"/>
        </w:rPr>
      </w:pPr>
    </w:p>
    <w:p w:rsidR="00D009CA" w:rsidRPr="00BF3528" w:rsidRDefault="00D009CA" w:rsidP="00D009CA">
      <w:pPr>
        <w:pStyle w:val="Nzev"/>
        <w:jc w:val="right"/>
        <w:rPr>
          <w:rFonts w:ascii="Arial" w:hAnsi="Arial" w:cs="Arial"/>
          <w:sz w:val="22"/>
          <w:szCs w:val="22"/>
        </w:rPr>
      </w:pPr>
    </w:p>
    <w:p w:rsidR="00D009CA" w:rsidRPr="00BF3528" w:rsidRDefault="00D009CA" w:rsidP="00D009CA">
      <w:pPr>
        <w:pStyle w:val="Nzev"/>
        <w:jc w:val="right"/>
        <w:rPr>
          <w:rFonts w:ascii="Arial" w:hAnsi="Arial" w:cs="Arial"/>
          <w:sz w:val="22"/>
          <w:szCs w:val="22"/>
        </w:rPr>
      </w:pPr>
    </w:p>
    <w:p w:rsidR="00D009CA" w:rsidRPr="00BF3528" w:rsidRDefault="00D009CA" w:rsidP="00D009CA">
      <w:pPr>
        <w:pStyle w:val="Nzev"/>
        <w:jc w:val="right"/>
        <w:rPr>
          <w:rFonts w:ascii="Arial" w:hAnsi="Arial" w:cs="Arial"/>
          <w:sz w:val="22"/>
          <w:szCs w:val="22"/>
        </w:rPr>
      </w:pPr>
    </w:p>
    <w:p w:rsidR="00D009CA" w:rsidRPr="00BF3528" w:rsidRDefault="00D009CA" w:rsidP="00D009CA">
      <w:pPr>
        <w:pStyle w:val="Nzev"/>
        <w:jc w:val="right"/>
        <w:rPr>
          <w:rFonts w:ascii="Arial" w:hAnsi="Arial" w:cs="Arial"/>
          <w:sz w:val="22"/>
          <w:szCs w:val="22"/>
        </w:rPr>
      </w:pPr>
    </w:p>
    <w:p w:rsidR="00D009CA" w:rsidRPr="00BF3528" w:rsidRDefault="00D009CA" w:rsidP="00D009CA">
      <w:pPr>
        <w:pStyle w:val="Nzev"/>
        <w:jc w:val="right"/>
        <w:rPr>
          <w:rFonts w:ascii="Arial" w:hAnsi="Arial" w:cs="Arial"/>
          <w:sz w:val="22"/>
          <w:szCs w:val="22"/>
        </w:rPr>
      </w:pPr>
    </w:p>
    <w:p w:rsidR="00D009CA" w:rsidRPr="005F19F4" w:rsidRDefault="00D009CA" w:rsidP="00D009CA">
      <w:pPr>
        <w:pStyle w:val="Nzev"/>
        <w:jc w:val="right"/>
        <w:rPr>
          <w:rFonts w:ascii="Times New Roman" w:hAnsi="Times New Roman" w:cs="Times New Roman"/>
          <w:sz w:val="22"/>
          <w:szCs w:val="22"/>
        </w:rPr>
      </w:pPr>
    </w:p>
    <w:p w:rsidR="00D009CA" w:rsidRPr="005F19F4" w:rsidRDefault="00D009CA" w:rsidP="00D009CA">
      <w:pPr>
        <w:pStyle w:val="Nzev"/>
        <w:jc w:val="right"/>
        <w:rPr>
          <w:rFonts w:ascii="Times New Roman" w:hAnsi="Times New Roman" w:cs="Times New Roman"/>
          <w:sz w:val="22"/>
          <w:szCs w:val="22"/>
        </w:rPr>
      </w:pPr>
    </w:p>
    <w:p w:rsidR="00D009CA" w:rsidRPr="005F19F4" w:rsidRDefault="00D009CA" w:rsidP="00D009CA">
      <w:pPr>
        <w:pStyle w:val="Nzev"/>
        <w:jc w:val="right"/>
        <w:rPr>
          <w:rFonts w:ascii="Times New Roman" w:hAnsi="Times New Roman" w:cs="Times New Roman"/>
          <w:sz w:val="22"/>
          <w:szCs w:val="22"/>
        </w:rPr>
      </w:pPr>
    </w:p>
    <w:p w:rsidR="00D009CA" w:rsidRPr="005F19F4" w:rsidRDefault="00D009CA" w:rsidP="00D009CA">
      <w:pPr>
        <w:pStyle w:val="Nzev"/>
        <w:jc w:val="right"/>
        <w:rPr>
          <w:rFonts w:ascii="Times New Roman" w:hAnsi="Times New Roman" w:cs="Times New Roman"/>
          <w:sz w:val="22"/>
          <w:szCs w:val="22"/>
        </w:rPr>
      </w:pPr>
    </w:p>
    <w:p w:rsidR="00D009CA" w:rsidRPr="005F19F4" w:rsidRDefault="00D009CA" w:rsidP="00D009CA">
      <w:pPr>
        <w:pStyle w:val="Nzev"/>
        <w:jc w:val="right"/>
        <w:rPr>
          <w:rFonts w:ascii="Times New Roman" w:hAnsi="Times New Roman" w:cs="Times New Roman"/>
          <w:sz w:val="22"/>
          <w:szCs w:val="22"/>
        </w:rPr>
      </w:pPr>
    </w:p>
    <w:p w:rsidR="00D009CA" w:rsidRPr="005F19F4" w:rsidRDefault="00D009CA" w:rsidP="00D009CA">
      <w:pPr>
        <w:pStyle w:val="Nzev"/>
        <w:jc w:val="right"/>
        <w:rPr>
          <w:rFonts w:ascii="Times New Roman" w:hAnsi="Times New Roman" w:cs="Times New Roman"/>
          <w:sz w:val="22"/>
          <w:szCs w:val="22"/>
        </w:rPr>
      </w:pPr>
    </w:p>
    <w:p w:rsidR="00D009CA" w:rsidRPr="005F19F4" w:rsidRDefault="00D009CA" w:rsidP="00D009CA">
      <w:pPr>
        <w:pStyle w:val="Nzev"/>
        <w:jc w:val="right"/>
        <w:rPr>
          <w:rFonts w:ascii="Times New Roman" w:hAnsi="Times New Roman" w:cs="Times New Roman"/>
          <w:sz w:val="22"/>
          <w:szCs w:val="22"/>
        </w:rPr>
      </w:pPr>
    </w:p>
    <w:p w:rsidR="00D009CA" w:rsidRPr="005F19F4" w:rsidRDefault="00D009CA" w:rsidP="00D009CA">
      <w:pPr>
        <w:pStyle w:val="Nzev"/>
        <w:spacing w:line="276" w:lineRule="auto"/>
        <w:jc w:val="left"/>
        <w:rPr>
          <w:rFonts w:ascii="Times New Roman" w:hAnsi="Times New Roman" w:cs="Times New Roman"/>
        </w:rPr>
      </w:pPr>
      <w:r w:rsidRPr="005F19F4">
        <w:rPr>
          <w:rFonts w:ascii="Times New Roman" w:hAnsi="Times New Roman" w:cs="Times New Roman"/>
        </w:rPr>
        <w:t>Příloha č. 1 - Pokyny pro zpracování nabídky</w:t>
      </w:r>
    </w:p>
    <w:p w:rsidR="00D009CA" w:rsidRPr="005F19F4" w:rsidRDefault="00D009CA" w:rsidP="00D009CA">
      <w:pPr>
        <w:overflowPunct w:val="0"/>
        <w:adjustRightInd w:val="0"/>
        <w:spacing w:line="276" w:lineRule="auto"/>
        <w:jc w:val="both"/>
        <w:textAlignment w:val="baseline"/>
        <w:rPr>
          <w:b/>
          <w:bCs/>
          <w:iCs/>
        </w:rPr>
      </w:pPr>
      <w:r w:rsidRPr="005F19F4">
        <w:rPr>
          <w:b/>
          <w:bCs/>
          <w:iCs/>
        </w:rPr>
        <w:t>Příloha č. 2 - Základní pravidla pro provozování farmářských trhů</w:t>
      </w:r>
    </w:p>
    <w:p w:rsidR="00D009CA" w:rsidRPr="005F19F4" w:rsidRDefault="00D009CA" w:rsidP="00D009CA">
      <w:pPr>
        <w:overflowPunct w:val="0"/>
        <w:adjustRightInd w:val="0"/>
        <w:spacing w:line="276" w:lineRule="auto"/>
        <w:jc w:val="both"/>
        <w:textAlignment w:val="baseline"/>
        <w:rPr>
          <w:b/>
          <w:bCs/>
          <w:iCs/>
        </w:rPr>
      </w:pPr>
      <w:r w:rsidRPr="005F19F4">
        <w:rPr>
          <w:b/>
          <w:bCs/>
          <w:iCs/>
        </w:rPr>
        <w:t xml:space="preserve">Příloha č. 3 - Kodex farmářských trhů </w:t>
      </w:r>
    </w:p>
    <w:p w:rsidR="00D009CA" w:rsidRPr="005F19F4" w:rsidRDefault="00D009CA" w:rsidP="00D009CA">
      <w:pPr>
        <w:pStyle w:val="Default"/>
        <w:spacing w:line="276" w:lineRule="auto"/>
        <w:jc w:val="both"/>
        <w:rPr>
          <w:rFonts w:ascii="Times New Roman" w:hAnsi="Times New Roman" w:cs="Times New Roman"/>
          <w:b/>
          <w:bCs/>
          <w:iCs/>
          <w:color w:val="auto"/>
        </w:rPr>
      </w:pPr>
      <w:r w:rsidRPr="005F19F4">
        <w:rPr>
          <w:rFonts w:ascii="Times New Roman" w:hAnsi="Times New Roman" w:cs="Times New Roman"/>
          <w:b/>
          <w:bCs/>
          <w:iCs/>
          <w:color w:val="auto"/>
        </w:rPr>
        <w:t xml:space="preserve">Příloha č. 4 - Tržní řád farmářských trhů </w:t>
      </w:r>
    </w:p>
    <w:p w:rsidR="00013E24" w:rsidRPr="005F19F4" w:rsidRDefault="00D009CA" w:rsidP="00D009CA">
      <w:pPr>
        <w:pStyle w:val="Default"/>
        <w:spacing w:line="276" w:lineRule="auto"/>
        <w:jc w:val="both"/>
        <w:rPr>
          <w:rFonts w:ascii="Times New Roman" w:hAnsi="Times New Roman" w:cs="Times New Roman"/>
          <w:b/>
          <w:bCs/>
          <w:iCs/>
          <w:color w:val="auto"/>
        </w:rPr>
      </w:pPr>
      <w:r w:rsidRPr="005F19F4">
        <w:rPr>
          <w:rFonts w:ascii="Times New Roman" w:hAnsi="Times New Roman" w:cs="Times New Roman"/>
          <w:b/>
          <w:bCs/>
          <w:iCs/>
          <w:color w:val="auto"/>
        </w:rPr>
        <w:t>Příloha č. 5 – Specifikace místa konání farmářských trhů - plánek</w:t>
      </w:r>
    </w:p>
    <w:sectPr w:rsidR="00013E24" w:rsidRPr="005F19F4">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2661" w:rsidRDefault="00232661" w:rsidP="00232661">
      <w:r>
        <w:separator/>
      </w:r>
    </w:p>
  </w:endnote>
  <w:endnote w:type="continuationSeparator" w:id="0">
    <w:p w:rsidR="00232661" w:rsidRDefault="00232661" w:rsidP="002326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Math">
    <w:panose1 w:val="02040503050406030204"/>
    <w:charset w:val="EE"/>
    <w:family w:val="roman"/>
    <w:pitch w:val="variable"/>
    <w:sig w:usb0="E00002FF" w:usb1="420024FF" w:usb2="00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0688381"/>
      <w:docPartObj>
        <w:docPartGallery w:val="Page Numbers (Bottom of Page)"/>
        <w:docPartUnique/>
      </w:docPartObj>
    </w:sdtPr>
    <w:sdtContent>
      <w:p w:rsidR="00232661" w:rsidRDefault="00232661">
        <w:pPr>
          <w:pStyle w:val="Zpat"/>
          <w:jc w:val="center"/>
        </w:pPr>
        <w:r>
          <w:fldChar w:fldCharType="begin"/>
        </w:r>
        <w:r>
          <w:instrText>PAGE   \* MERGEFORMAT</w:instrText>
        </w:r>
        <w:r>
          <w:fldChar w:fldCharType="separate"/>
        </w:r>
        <w:r>
          <w:rPr>
            <w:noProof/>
          </w:rPr>
          <w:t>6</w:t>
        </w:r>
        <w:r>
          <w:fldChar w:fldCharType="end"/>
        </w:r>
      </w:p>
    </w:sdtContent>
  </w:sdt>
  <w:p w:rsidR="00232661" w:rsidRDefault="0023266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2661" w:rsidRDefault="00232661" w:rsidP="00232661">
      <w:r>
        <w:separator/>
      </w:r>
    </w:p>
  </w:footnote>
  <w:footnote w:type="continuationSeparator" w:id="0">
    <w:p w:rsidR="00232661" w:rsidRDefault="00232661" w:rsidP="0023266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BB04E5"/>
    <w:multiLevelType w:val="hybridMultilevel"/>
    <w:tmpl w:val="E2101C46"/>
    <w:lvl w:ilvl="0" w:tplc="E676FD76">
      <w:start w:val="100"/>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31AF35FC"/>
    <w:multiLevelType w:val="hybridMultilevel"/>
    <w:tmpl w:val="36DE4B5C"/>
    <w:lvl w:ilvl="0" w:tplc="E676FD76">
      <w:start w:val="100"/>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5043662B"/>
    <w:multiLevelType w:val="hybridMultilevel"/>
    <w:tmpl w:val="4E1033E6"/>
    <w:lvl w:ilvl="0" w:tplc="0A6C2510">
      <w:start w:val="1"/>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3" w15:restartNumberingAfterBreak="0">
    <w:nsid w:val="50DE13CB"/>
    <w:multiLevelType w:val="hybridMultilevel"/>
    <w:tmpl w:val="FD704FFC"/>
    <w:lvl w:ilvl="0" w:tplc="E4C05FD4">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4AE5F06"/>
    <w:multiLevelType w:val="hybridMultilevel"/>
    <w:tmpl w:val="93188A70"/>
    <w:lvl w:ilvl="0" w:tplc="6D46B6EE">
      <w:start w:val="1"/>
      <w:numFmt w:val="lowerLetter"/>
      <w:lvlText w:val="%1)"/>
      <w:lvlJc w:val="left"/>
      <w:pPr>
        <w:tabs>
          <w:tab w:val="num" w:pos="436"/>
        </w:tabs>
        <w:ind w:left="436" w:hanging="360"/>
      </w:pPr>
      <w:rPr>
        <w:b w:val="0"/>
      </w:rPr>
    </w:lvl>
    <w:lvl w:ilvl="1" w:tplc="04050001">
      <w:start w:val="1"/>
      <w:numFmt w:val="bullet"/>
      <w:lvlText w:val=""/>
      <w:lvlJc w:val="left"/>
      <w:pPr>
        <w:tabs>
          <w:tab w:val="num" w:pos="1156"/>
        </w:tabs>
        <w:ind w:left="1156" w:hanging="360"/>
      </w:pPr>
      <w:rPr>
        <w:rFonts w:ascii="Symbol" w:hAnsi="Symbol" w:hint="default"/>
      </w:rPr>
    </w:lvl>
    <w:lvl w:ilvl="2" w:tplc="0405001B" w:tentative="1">
      <w:start w:val="1"/>
      <w:numFmt w:val="lowerRoman"/>
      <w:lvlText w:val="%3."/>
      <w:lvlJc w:val="right"/>
      <w:pPr>
        <w:tabs>
          <w:tab w:val="num" w:pos="1876"/>
        </w:tabs>
        <w:ind w:left="1876" w:hanging="180"/>
      </w:pPr>
    </w:lvl>
    <w:lvl w:ilvl="3" w:tplc="0405000F" w:tentative="1">
      <w:start w:val="1"/>
      <w:numFmt w:val="decimal"/>
      <w:lvlText w:val="%4."/>
      <w:lvlJc w:val="left"/>
      <w:pPr>
        <w:tabs>
          <w:tab w:val="num" w:pos="2596"/>
        </w:tabs>
        <w:ind w:left="2596" w:hanging="360"/>
      </w:pPr>
    </w:lvl>
    <w:lvl w:ilvl="4" w:tplc="04050019" w:tentative="1">
      <w:start w:val="1"/>
      <w:numFmt w:val="lowerLetter"/>
      <w:lvlText w:val="%5."/>
      <w:lvlJc w:val="left"/>
      <w:pPr>
        <w:tabs>
          <w:tab w:val="num" w:pos="3316"/>
        </w:tabs>
        <w:ind w:left="3316" w:hanging="360"/>
      </w:pPr>
    </w:lvl>
    <w:lvl w:ilvl="5" w:tplc="0405001B" w:tentative="1">
      <w:start w:val="1"/>
      <w:numFmt w:val="lowerRoman"/>
      <w:lvlText w:val="%6."/>
      <w:lvlJc w:val="right"/>
      <w:pPr>
        <w:tabs>
          <w:tab w:val="num" w:pos="4036"/>
        </w:tabs>
        <w:ind w:left="4036" w:hanging="180"/>
      </w:pPr>
    </w:lvl>
    <w:lvl w:ilvl="6" w:tplc="0405000F" w:tentative="1">
      <w:start w:val="1"/>
      <w:numFmt w:val="decimal"/>
      <w:lvlText w:val="%7."/>
      <w:lvlJc w:val="left"/>
      <w:pPr>
        <w:tabs>
          <w:tab w:val="num" w:pos="4756"/>
        </w:tabs>
        <w:ind w:left="4756" w:hanging="360"/>
      </w:pPr>
    </w:lvl>
    <w:lvl w:ilvl="7" w:tplc="04050019" w:tentative="1">
      <w:start w:val="1"/>
      <w:numFmt w:val="lowerLetter"/>
      <w:lvlText w:val="%8."/>
      <w:lvlJc w:val="left"/>
      <w:pPr>
        <w:tabs>
          <w:tab w:val="num" w:pos="5476"/>
        </w:tabs>
        <w:ind w:left="5476" w:hanging="360"/>
      </w:pPr>
    </w:lvl>
    <w:lvl w:ilvl="8" w:tplc="0405001B" w:tentative="1">
      <w:start w:val="1"/>
      <w:numFmt w:val="lowerRoman"/>
      <w:lvlText w:val="%9."/>
      <w:lvlJc w:val="right"/>
      <w:pPr>
        <w:tabs>
          <w:tab w:val="num" w:pos="6196"/>
        </w:tabs>
        <w:ind w:left="6196" w:hanging="180"/>
      </w:pPr>
    </w:lvl>
  </w:abstractNum>
  <w:abstractNum w:abstractNumId="5" w15:restartNumberingAfterBreak="0">
    <w:nsid w:val="61387167"/>
    <w:multiLevelType w:val="hybridMultilevel"/>
    <w:tmpl w:val="79C85216"/>
    <w:lvl w:ilvl="0" w:tplc="E676FD76">
      <w:start w:val="100"/>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6EC53FDF"/>
    <w:multiLevelType w:val="hybridMultilevel"/>
    <w:tmpl w:val="AD5AD392"/>
    <w:lvl w:ilvl="0" w:tplc="2286DF22">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6"/>
  </w:num>
  <w:num w:numId="4">
    <w:abstractNumId w:val="1"/>
  </w:num>
  <w:num w:numId="5">
    <w:abstractNumId w:val="5"/>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9CA"/>
    <w:rsid w:val="00013E24"/>
    <w:rsid w:val="000C734A"/>
    <w:rsid w:val="00232661"/>
    <w:rsid w:val="00266033"/>
    <w:rsid w:val="00307588"/>
    <w:rsid w:val="00363E71"/>
    <w:rsid w:val="003829B4"/>
    <w:rsid w:val="005F19F4"/>
    <w:rsid w:val="00625A2A"/>
    <w:rsid w:val="00654D00"/>
    <w:rsid w:val="00825171"/>
    <w:rsid w:val="00B26C94"/>
    <w:rsid w:val="00BB03BD"/>
    <w:rsid w:val="00D009CA"/>
    <w:rsid w:val="00D1134B"/>
    <w:rsid w:val="00D40547"/>
    <w:rsid w:val="00D83941"/>
    <w:rsid w:val="00DC079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AFB543-BDD9-48C7-B62B-9FC0AC60E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009CA"/>
    <w:pPr>
      <w:autoSpaceDE w:val="0"/>
      <w:autoSpaceDN w:val="0"/>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komente">
    <w:name w:val="annotation text"/>
    <w:basedOn w:val="Normln"/>
    <w:link w:val="TextkomenteChar"/>
    <w:rsid w:val="00D009CA"/>
    <w:pPr>
      <w:spacing w:line="264" w:lineRule="auto"/>
      <w:jc w:val="both"/>
    </w:pPr>
  </w:style>
  <w:style w:type="character" w:customStyle="1" w:styleId="TextkomenteChar">
    <w:name w:val="Text komentáře Char"/>
    <w:basedOn w:val="Standardnpsmoodstavce"/>
    <w:link w:val="Textkomente"/>
    <w:rsid w:val="00D009CA"/>
    <w:rPr>
      <w:rFonts w:ascii="Times New Roman" w:eastAsia="Times New Roman" w:hAnsi="Times New Roman" w:cs="Times New Roman"/>
      <w:sz w:val="24"/>
      <w:szCs w:val="24"/>
      <w:lang w:eastAsia="cs-CZ"/>
    </w:rPr>
  </w:style>
  <w:style w:type="paragraph" w:styleId="Nzev">
    <w:name w:val="Title"/>
    <w:basedOn w:val="Normln"/>
    <w:link w:val="NzevChar"/>
    <w:qFormat/>
    <w:rsid w:val="00D009CA"/>
    <w:pPr>
      <w:jc w:val="center"/>
    </w:pPr>
    <w:rPr>
      <w:rFonts w:ascii="Courier New" w:hAnsi="Courier New" w:cs="Courier New"/>
      <w:b/>
      <w:bCs/>
    </w:rPr>
  </w:style>
  <w:style w:type="character" w:customStyle="1" w:styleId="NzevChar">
    <w:name w:val="Název Char"/>
    <w:basedOn w:val="Standardnpsmoodstavce"/>
    <w:link w:val="Nzev"/>
    <w:rsid w:val="00D009CA"/>
    <w:rPr>
      <w:rFonts w:ascii="Courier New" w:eastAsia="Times New Roman" w:hAnsi="Courier New" w:cs="Courier New"/>
      <w:b/>
      <w:bCs/>
      <w:sz w:val="24"/>
      <w:szCs w:val="24"/>
      <w:lang w:eastAsia="cs-CZ"/>
    </w:rPr>
  </w:style>
  <w:style w:type="paragraph" w:styleId="Zkladntext">
    <w:name w:val="Body Text"/>
    <w:basedOn w:val="Normln"/>
    <w:link w:val="ZkladntextChar"/>
    <w:rsid w:val="00D009CA"/>
    <w:pPr>
      <w:jc w:val="both"/>
    </w:pPr>
  </w:style>
  <w:style w:type="character" w:customStyle="1" w:styleId="ZkladntextChar">
    <w:name w:val="Základní text Char"/>
    <w:basedOn w:val="Standardnpsmoodstavce"/>
    <w:link w:val="Zkladntext"/>
    <w:rsid w:val="00D009CA"/>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D009CA"/>
    <w:pPr>
      <w:jc w:val="both"/>
    </w:pPr>
    <w:rPr>
      <w:b/>
      <w:bCs/>
    </w:rPr>
  </w:style>
  <w:style w:type="character" w:customStyle="1" w:styleId="Zkladntext3Char">
    <w:name w:val="Základní text 3 Char"/>
    <w:basedOn w:val="Standardnpsmoodstavce"/>
    <w:link w:val="Zkladntext3"/>
    <w:rsid w:val="00D009CA"/>
    <w:rPr>
      <w:rFonts w:ascii="Times New Roman" w:eastAsia="Times New Roman" w:hAnsi="Times New Roman" w:cs="Times New Roman"/>
      <w:b/>
      <w:bCs/>
      <w:sz w:val="24"/>
      <w:szCs w:val="24"/>
      <w:lang w:eastAsia="cs-CZ"/>
    </w:rPr>
  </w:style>
  <w:style w:type="paragraph" w:styleId="Textvbloku">
    <w:name w:val="Block Text"/>
    <w:basedOn w:val="Normln"/>
    <w:rsid w:val="00D009CA"/>
    <w:pPr>
      <w:ind w:left="340" w:right="-1"/>
    </w:pPr>
    <w:rPr>
      <w:rFonts w:ascii="Courier New" w:hAnsi="Courier New" w:cs="Courier New"/>
      <w:sz w:val="16"/>
      <w:szCs w:val="16"/>
    </w:rPr>
  </w:style>
  <w:style w:type="paragraph" w:styleId="Prosttext">
    <w:name w:val="Plain Text"/>
    <w:basedOn w:val="Normln"/>
    <w:link w:val="ProsttextChar"/>
    <w:rsid w:val="00D009CA"/>
    <w:rPr>
      <w:rFonts w:ascii="Courier New" w:hAnsi="Courier New" w:cs="Courier New"/>
      <w:sz w:val="20"/>
      <w:szCs w:val="20"/>
    </w:rPr>
  </w:style>
  <w:style w:type="character" w:customStyle="1" w:styleId="ProsttextChar">
    <w:name w:val="Prostý text Char"/>
    <w:basedOn w:val="Standardnpsmoodstavce"/>
    <w:link w:val="Prosttext"/>
    <w:rsid w:val="00D009CA"/>
    <w:rPr>
      <w:rFonts w:ascii="Courier New" w:eastAsia="Times New Roman" w:hAnsi="Courier New" w:cs="Courier New"/>
      <w:sz w:val="20"/>
      <w:szCs w:val="20"/>
      <w:lang w:eastAsia="cs-CZ"/>
    </w:rPr>
  </w:style>
  <w:style w:type="paragraph" w:styleId="Odstavecseseznamem">
    <w:name w:val="List Paragraph"/>
    <w:basedOn w:val="Normln"/>
    <w:uiPriority w:val="34"/>
    <w:qFormat/>
    <w:rsid w:val="00D009CA"/>
    <w:pPr>
      <w:autoSpaceDE/>
      <w:autoSpaceDN/>
      <w:spacing w:after="160" w:line="259" w:lineRule="auto"/>
      <w:ind w:left="720"/>
      <w:contextualSpacing/>
    </w:pPr>
    <w:rPr>
      <w:rFonts w:ascii="Calibri" w:eastAsia="Calibri" w:hAnsi="Calibri"/>
      <w:sz w:val="22"/>
      <w:szCs w:val="22"/>
      <w:lang w:eastAsia="en-US"/>
    </w:rPr>
  </w:style>
  <w:style w:type="character" w:styleId="Odkaznakoment">
    <w:name w:val="annotation reference"/>
    <w:rsid w:val="00D009CA"/>
    <w:rPr>
      <w:sz w:val="16"/>
      <w:szCs w:val="16"/>
    </w:rPr>
  </w:style>
  <w:style w:type="character" w:styleId="Hypertextovodkaz">
    <w:name w:val="Hyperlink"/>
    <w:rsid w:val="00D009CA"/>
    <w:rPr>
      <w:color w:val="0563C1"/>
      <w:u w:val="single"/>
    </w:rPr>
  </w:style>
  <w:style w:type="paragraph" w:customStyle="1" w:styleId="Default">
    <w:name w:val="Default"/>
    <w:rsid w:val="00D009CA"/>
    <w:pPr>
      <w:autoSpaceDE w:val="0"/>
      <w:autoSpaceDN w:val="0"/>
      <w:adjustRightInd w:val="0"/>
      <w:spacing w:after="0" w:line="240" w:lineRule="auto"/>
    </w:pPr>
    <w:rPr>
      <w:rFonts w:ascii="Symbol" w:eastAsia="Times New Roman" w:hAnsi="Symbol" w:cs="Symbol"/>
      <w:color w:val="000000"/>
      <w:sz w:val="24"/>
      <w:szCs w:val="24"/>
      <w:lang w:eastAsia="cs-CZ"/>
    </w:rPr>
  </w:style>
  <w:style w:type="character" w:styleId="Siln">
    <w:name w:val="Strong"/>
    <w:basedOn w:val="Standardnpsmoodstavce"/>
    <w:uiPriority w:val="22"/>
    <w:qFormat/>
    <w:rsid w:val="00D009CA"/>
    <w:rPr>
      <w:b/>
      <w:bCs/>
    </w:rPr>
  </w:style>
  <w:style w:type="table" w:styleId="Mkatabulky">
    <w:name w:val="Table Grid"/>
    <w:basedOn w:val="Normlntabulka"/>
    <w:rsid w:val="00D009CA"/>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3829B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829B4"/>
    <w:rPr>
      <w:rFonts w:ascii="Segoe UI" w:eastAsia="Times New Roman" w:hAnsi="Segoe UI" w:cs="Segoe UI"/>
      <w:sz w:val="18"/>
      <w:szCs w:val="18"/>
      <w:lang w:eastAsia="cs-CZ"/>
    </w:rPr>
  </w:style>
  <w:style w:type="paragraph" w:styleId="Zhlav">
    <w:name w:val="header"/>
    <w:basedOn w:val="Normln"/>
    <w:link w:val="ZhlavChar"/>
    <w:uiPriority w:val="99"/>
    <w:unhideWhenUsed/>
    <w:rsid w:val="00232661"/>
    <w:pPr>
      <w:tabs>
        <w:tab w:val="center" w:pos="4536"/>
        <w:tab w:val="right" w:pos="9072"/>
      </w:tabs>
    </w:pPr>
  </w:style>
  <w:style w:type="character" w:customStyle="1" w:styleId="ZhlavChar">
    <w:name w:val="Záhlaví Char"/>
    <w:basedOn w:val="Standardnpsmoodstavce"/>
    <w:link w:val="Zhlav"/>
    <w:uiPriority w:val="99"/>
    <w:rsid w:val="00232661"/>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32661"/>
    <w:pPr>
      <w:tabs>
        <w:tab w:val="center" w:pos="4536"/>
        <w:tab w:val="right" w:pos="9072"/>
      </w:tabs>
    </w:pPr>
  </w:style>
  <w:style w:type="character" w:customStyle="1" w:styleId="ZpatChar">
    <w:name w:val="Zápatí Char"/>
    <w:basedOn w:val="Standardnpsmoodstavce"/>
    <w:link w:val="Zpat"/>
    <w:uiPriority w:val="99"/>
    <w:rsid w:val="00232661"/>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etra.moravkova@praha10.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6</Pages>
  <Words>1515</Words>
  <Characters>8942</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Kováříková Petra Bc. MBA (ÚMČ Praha 10)</dc:creator>
  <cp:keywords/>
  <dc:description/>
  <cp:lastModifiedBy>Kováříková Petra Bc. MBA (ÚMČ Praha 10)</cp:lastModifiedBy>
  <cp:revision>17</cp:revision>
  <cp:lastPrinted>2019-02-13T13:09:00Z</cp:lastPrinted>
  <dcterms:created xsi:type="dcterms:W3CDTF">2019-02-13T12:51:00Z</dcterms:created>
  <dcterms:modified xsi:type="dcterms:W3CDTF">2019-02-13T13:22:00Z</dcterms:modified>
</cp:coreProperties>
</file>