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C5AF" w14:textId="433A8A28" w:rsidR="004D7A3E" w:rsidRDefault="005D1B91">
      <w:r>
        <w:rPr>
          <w:noProof/>
          <w:color w:val="000000"/>
          <w:lang w:eastAsia="cs-CZ"/>
        </w:rPr>
        <w:drawing>
          <wp:inline distT="0" distB="0" distL="0" distR="0" wp14:anchorId="78F57572" wp14:editId="7D68AAD7">
            <wp:extent cx="5760720" cy="32937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91"/>
    <w:rsid w:val="004D7A3E"/>
    <w:rsid w:val="005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93C3"/>
  <w15:chartTrackingRefBased/>
  <w15:docId w15:val="{B3F3FBD0-DA88-447D-BFCA-696BD49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4FA9.62CBED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Úřad městské části Praha 10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Řeháková Milena JUDr. LL.M., MBA (ÚMČ Praha 10)</dc:creator>
  <cp:keywords/>
  <dc:description/>
  <cp:lastModifiedBy>Řeháková Milena JUDr. LL.M., MBA (ÚMČ Praha 10)</cp:lastModifiedBy>
  <cp:revision>1</cp:revision>
  <dcterms:created xsi:type="dcterms:W3CDTF">2024-01-29T10:06:00Z</dcterms:created>
  <dcterms:modified xsi:type="dcterms:W3CDTF">2024-01-29T10:06:00Z</dcterms:modified>
</cp:coreProperties>
</file>